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177B33">
            <w:pPr>
              <w:keepNext/>
              <w:tabs>
                <w:tab w:val="left" w:pos="2910"/>
              </w:tabs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177B33" w:rsidRPr="00177B33">
              <w:rPr>
                <w:rFonts w:ascii="Arial Narrow" w:hAnsi="Arial Narrow"/>
                <w:b/>
                <w:sz w:val="20"/>
                <w:szCs w:val="20"/>
              </w:rPr>
              <w:t>Diagnostyka obrazowa</w:t>
            </w:r>
            <w:r w:rsidR="00177B33" w:rsidRPr="00177B33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177B33" w:rsidRPr="001C5725">
              <w:rPr>
                <w:sz w:val="20"/>
                <w:szCs w:val="20"/>
              </w:rPr>
              <w:t xml:space="preserve"> 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177B33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266AD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177B33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7B33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BE0DFE" w:rsidRPr="00D67972" w:rsidTr="00177B3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177B33" w:rsidRDefault="00177B33" w:rsidP="00177B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7B33">
              <w:rPr>
                <w:rFonts w:ascii="Arial Narrow" w:hAnsi="Arial Narrow" w:cs="Arial"/>
                <w:b/>
                <w:sz w:val="20"/>
                <w:szCs w:val="20"/>
              </w:rPr>
              <w:t>12ćw</w:t>
            </w:r>
          </w:p>
        </w:tc>
      </w:tr>
      <w:tr w:rsidR="00BE0DFE" w:rsidRPr="00D67972" w:rsidTr="00177B3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177B33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77B33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B33" w:rsidRPr="0046544C" w:rsidRDefault="00177B33" w:rsidP="00D41102">
            <w:pPr>
              <w:pStyle w:val="Tekstpodstawowy2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46544C">
              <w:rPr>
                <w:rFonts w:ascii="Arial Narrow" w:hAnsi="Arial Narrow" w:cs="Arial"/>
                <w:sz w:val="20"/>
                <w:szCs w:val="20"/>
              </w:rPr>
              <w:t>r Tomasz Wolny</w:t>
            </w:r>
            <w:r>
              <w:rPr>
                <w:rFonts w:ascii="Arial Narrow" w:hAnsi="Arial Narrow" w:cs="Arial"/>
                <w:sz w:val="20"/>
                <w:szCs w:val="20"/>
              </w:rPr>
              <w:t>, d</w:t>
            </w:r>
            <w:r w:rsidRPr="0046544C">
              <w:rPr>
                <w:rFonts w:ascii="Arial Narrow" w:hAnsi="Arial Narrow" w:cs="Arial"/>
                <w:sz w:val="20"/>
                <w:szCs w:val="20"/>
              </w:rPr>
              <w:t>r Andrzej Myśliwiec</w:t>
            </w:r>
          </w:p>
          <w:p w:rsidR="00177B33" w:rsidRPr="001C5725" w:rsidRDefault="00177B33" w:rsidP="00D41102">
            <w:pPr>
              <w:pStyle w:val="Standard"/>
              <w:widowControl/>
              <w:rPr>
                <w:rFonts w:ascii="Arial Narrow" w:hAnsi="Arial Narrow"/>
                <w:snapToGrid/>
              </w:rPr>
            </w:pPr>
          </w:p>
        </w:tc>
      </w:tr>
      <w:tr w:rsidR="00177B33" w:rsidRPr="00D67972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D41102">
            <w:pPr>
              <w:rPr>
                <w:rFonts w:ascii="Arial Narrow" w:hAnsi="Arial Narrow"/>
                <w:sz w:val="20"/>
                <w:szCs w:val="20"/>
              </w:rPr>
            </w:pPr>
            <w:r w:rsidRPr="001C5725">
              <w:rPr>
                <w:rFonts w:ascii="Arial Narrow" w:hAnsi="Arial Narrow"/>
                <w:sz w:val="20"/>
                <w:szCs w:val="20"/>
              </w:rPr>
              <w:t>ćwiczenia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D411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5725">
              <w:rPr>
                <w:rFonts w:ascii="Arial Narrow" w:hAnsi="Arial Narrow"/>
                <w:sz w:val="20"/>
                <w:szCs w:val="20"/>
              </w:rPr>
              <w:t>Celem zajęć jest nabycie przez studentów wiedzy z zakresu i obszaru dotyczącego badań obrazowych w diagnostyce stanu pacjenta, wskazań do wykonywania badań diagnostycznych, istoty i specyfiki tomografii komputerowej, roli i znaczenia ultrasonografii w diagnozie stanu pacjenta, roli i znaczenia rezonansu magnetycznego w diagnostyce stanu zdrowia. Student nabywa również umiejętność opieki nad pacjentem przed, w trakcie i po wykonaniu badań analitycznych ogólnych i specjalistycznych, radiologicznych, metodą tomografii komputerowej, ultrasonograficznych, metodą rezonansu magnetycznego.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C266AD" w:rsidRDefault="0059651C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zna metody badania obrazowego pomocnego w fizjoterapii,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59651C" w:rsidRPr="00D67972" w:rsidRDefault="0059651C" w:rsidP="0017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D67972" w:rsidRDefault="0059651C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orientuje się w obrazi USG, RTG, MR, TK,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59651C" w:rsidRPr="00D67972" w:rsidRDefault="0059651C" w:rsidP="0017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D67972" w:rsidRDefault="0059651C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FIZ_W18</w:t>
            </w:r>
          </w:p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FIZ_W19</w:t>
            </w:r>
          </w:p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FIZ_W23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M1_W08</w:t>
            </w:r>
          </w:p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wie jakie jest zastosowanie poszczególnych metod diagnostycznych.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59651C" w:rsidRPr="00D67972" w:rsidRDefault="0059651C" w:rsidP="0017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D67972" w:rsidRDefault="0059651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potrafi określić wybrane, podstawowe obrazy patologiczne w poszczególnych rodzajach badań,</w:t>
            </w:r>
          </w:p>
          <w:p w:rsidR="0059651C" w:rsidRPr="00D67972" w:rsidRDefault="0059651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wykonanie i interpretacja badania USG.</w:t>
            </w:r>
          </w:p>
          <w:p w:rsidR="0059651C" w:rsidRPr="00D67972" w:rsidRDefault="0059651C" w:rsidP="0017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D67972" w:rsidRDefault="0059651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1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potrafi wykonać i w sposób podstawowy zinterpretować badanie dynamiczne USG w zakresie przydatnym dla fizjoterapeuty.</w:t>
            </w:r>
          </w:p>
          <w:p w:rsidR="0059651C" w:rsidRPr="00D67972" w:rsidRDefault="0059651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wykonanie i interpretacja badania USG.</w:t>
            </w:r>
          </w:p>
          <w:p w:rsidR="0059651C" w:rsidRPr="00D67972" w:rsidRDefault="0059651C" w:rsidP="00177B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D67972" w:rsidRDefault="0059651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z zaangażowaniem i dokładnością podejmuje się wykonania zleconych zadań, jest precyzyjny i intuicyjny w czasie wykonywania ćwiczenia,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obserwacja studenta w trakcie wykonywania ćwiczeń,</w:t>
            </w:r>
          </w:p>
          <w:p w:rsidR="0059651C" w:rsidRPr="00177B33" w:rsidRDefault="0059651C" w:rsidP="00177B3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udział studenta w dyskusji.</w:t>
            </w:r>
          </w:p>
        </w:tc>
      </w:tr>
      <w:tr w:rsidR="0059651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D67972" w:rsidRDefault="0059651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5F7288" w:rsidRDefault="0059651C" w:rsidP="00D41102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FIZ_K01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2"/>
              </w:numPr>
              <w:spacing w:after="0" w:line="240" w:lineRule="auto"/>
              <w:ind w:left="426" w:hanging="284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ma świadomość poziomu swojej wiedzy i umiejętności, zdaje sobie sprawę z konieczności ciągłego dokształcania się zawodowego i rozwoju osobistego.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1C" w:rsidRPr="00177B33" w:rsidRDefault="0059651C" w:rsidP="00177B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obserwacja studenta w trakcie wykonywania ćwiczeń,</w:t>
            </w:r>
          </w:p>
          <w:p w:rsidR="0059651C" w:rsidRPr="00177B33" w:rsidRDefault="0059651C" w:rsidP="00177B3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77B33">
              <w:rPr>
                <w:rFonts w:ascii="Arial Narrow" w:hAnsi="Arial Narrow"/>
                <w:sz w:val="20"/>
                <w:szCs w:val="20"/>
              </w:rPr>
              <w:t>udział studenta w dyskusji.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inne  (określ jakie)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C266A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D41102">
            <w:pPr>
              <w:rPr>
                <w:rFonts w:ascii="Arial Narrow" w:hAnsi="Arial Narrow"/>
                <w:sz w:val="20"/>
                <w:szCs w:val="20"/>
              </w:rPr>
            </w:pPr>
            <w:r w:rsidRPr="001C5725">
              <w:rPr>
                <w:rFonts w:ascii="Arial Narrow" w:hAnsi="Arial Narrow"/>
                <w:sz w:val="20"/>
                <w:szCs w:val="20"/>
              </w:rPr>
              <w:t>Anatomia prawidłowa, patofizjologia,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Default="00177B33" w:rsidP="00177B33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Realizowane w formie bezpośredniej:</w:t>
            </w:r>
          </w:p>
          <w:p w:rsidR="00177B33" w:rsidRDefault="00177B33" w:rsidP="00177B33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Podstawy diagnostyki obrazowej; nowoczesne techniki obrazowania.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Rentgenodiagnostyka konwencjonalna.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Obrazowanie metodą tomografii komputerowej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wskazania do zastosowania tomografii komputerowej,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przygotowanie pacjenta do badania metodą tomografii komputerowej,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zakres i charakter diagnostyki,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zasady stosowania środków kontrastujących w badaniach radiologicznych,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zasady opieki nad pacjentem po badaniu.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Diagnostyka obrazowa metodą rezonansu magnetycznego: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wskazania do badania metodą rezonansu magnetycznego,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przygotowanie pacjenta do badania metodą rezonansu magnetycznego,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zasady opieki nad pacjentem po wykonaniu badania,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Współczesne metody i techniki diagnostyki ultrasonograficznej: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podstawy działania ultrasonografu,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wskazania do badań ultrasonograficznych,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zasady przygotowania pacjenta do badania ultrasonograficznego,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- metodyka wykonania badania USG dla potrzeb fizjoterapii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zastosowanie opcji Dopplera,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nowoczesne techniki ultrasonograficzne – THI, 3D,4D,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siescape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zasady stosowania środków kontrastujących w badaniach ultrasonograficznych,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zasady opieki nad pacjentem po wykonaniu badania, z uwzględnieniem użycia środka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kontrastującego </w:t>
            </w:r>
          </w:p>
          <w:p w:rsidR="00177B33" w:rsidRPr="001C5725" w:rsidRDefault="00177B33" w:rsidP="00D41102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- zakres i charakter diagnostyki ultrasonograficznej w stanie zdrowia i choroby.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Badania izotopowe i manometryczne.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Współczesne metody i techniki diagnostyczne w medycynie nuklearnej. </w:t>
            </w:r>
          </w:p>
          <w:p w:rsidR="00177B33" w:rsidRDefault="00177B33" w:rsidP="00177B33">
            <w:pPr>
              <w:pStyle w:val="Default"/>
              <w:numPr>
                <w:ilvl w:val="0"/>
                <w:numId w:val="24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Zasady ochrony przed szkodliwością badań obrazowych.</w:t>
            </w:r>
          </w:p>
          <w:p w:rsidR="00177B33" w:rsidRPr="001C5725" w:rsidRDefault="00177B33" w:rsidP="00177B33">
            <w:pPr>
              <w:pStyle w:val="Default"/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Wicke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L. Atlas anatomii radiologicznej.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Elsevier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2009.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Abrahams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P.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Weir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J. Atlas obrazowy anatomii człowieka.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Elsevier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2006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Andrson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MW. Keats TE. Atlas prawidłowych obrazów RTG imitujących stan patologiczny.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Elsevier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2008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Mc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Nally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EG. Diagnostyka obrazowa.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Elsevier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2008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Pruszyński B.: Radiologia – diagnostyka obrazowa, RTG, TK, USG, MR medycyna nuklearna. Wydawnictwo Lekarskie PZWL, Warszawa 2008.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Cavanaugh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B. M. (tłum.: Rowiński W.): Badania laboratoryjne i obrazowe dla pielęgniarek. Wydawnictwo PZWL, Warszawa 2006.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Pruszyński B.: Diagnostyka obrazowa. Podstawy teoretyczne i metodyka badań. Wydawnictwo Lekarskie PZWL, Warszawa 2000.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>Palmes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 xml:space="preserve"> P.E.S. red. </w:t>
            </w: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Diagnostyka Ultrasonograficzna. Wydawnictwo Lekarskie PZWL. Warszawa 2001.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 xml:space="preserve">Miller MD,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>Safran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 xml:space="preserve"> MR.,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>Chhabra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  <w:t xml:space="preserve">. </w:t>
            </w: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Artroskopia.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Elsevier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2008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Daniel B., Pruszyński B.: Anatomia radiologiczna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Rtg-TK-MR-USG-S.C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. Wydawnictwo Lekarskie PZWL, Warszawa 2005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Amico D.A., Jarząb B. Wskazania do badania PET z Fluorem – 18 FDG w onkologii. Centrum Onkologii, Gliwice 2008.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Baron J.,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Plich-Kowalczyk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J.: Wprowadzenie do diagnostyki obrazowej. Śląska Akademia Medyczna, Katowice 1999. </w:t>
            </w:r>
          </w:p>
          <w:p w:rsidR="00177B33" w:rsidRPr="001C5725" w:rsidRDefault="00177B33" w:rsidP="00177B33">
            <w:pPr>
              <w:pStyle w:val="Default"/>
              <w:numPr>
                <w:ilvl w:val="0"/>
                <w:numId w:val="25"/>
              </w:numPr>
              <w:ind w:left="443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Walecki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J.,Pruszyński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 xml:space="preserve"> B.: Leksykon radiologii i diagnostyki obrazowej. </w:t>
            </w:r>
            <w:proofErr w:type="spellStart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ZamKor</w:t>
            </w:r>
            <w:proofErr w:type="spellEnd"/>
            <w:r w:rsidRPr="001C5725">
              <w:rPr>
                <w:rFonts w:ascii="Arial Narrow" w:hAnsi="Arial Narrow"/>
                <w:color w:val="auto"/>
                <w:sz w:val="20"/>
                <w:szCs w:val="20"/>
              </w:rPr>
              <w:t>, Warszawa 2003.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D41102">
            <w:pPr>
              <w:tabs>
                <w:tab w:val="num" w:pos="2520"/>
              </w:tabs>
              <w:rPr>
                <w:rFonts w:ascii="Arial Narrow" w:hAnsi="Arial Narrow"/>
                <w:sz w:val="20"/>
                <w:szCs w:val="20"/>
              </w:rPr>
            </w:pPr>
            <w:r w:rsidRPr="001C5725">
              <w:rPr>
                <w:rFonts w:ascii="Arial Narrow" w:hAnsi="Arial Narrow"/>
                <w:sz w:val="20"/>
                <w:szCs w:val="20"/>
              </w:rPr>
              <w:t>ćwiczenia, pokaz z objaśnieniem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D41102">
            <w:pPr>
              <w:pStyle w:val="Standard"/>
              <w:widowControl/>
              <w:ind w:left="17"/>
              <w:rPr>
                <w:rFonts w:ascii="Arial Narrow" w:hAnsi="Arial Narrow"/>
                <w:snapToGrid/>
              </w:rPr>
            </w:pPr>
            <w:r w:rsidRPr="001C5725">
              <w:rPr>
                <w:rFonts w:ascii="Arial Narrow" w:hAnsi="Arial Narrow"/>
                <w:snapToGrid/>
              </w:rPr>
              <w:t>Rzutnik multimedialny, prezentacja, USG</w:t>
            </w: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C5725" w:rsidRDefault="00177B33" w:rsidP="00D41102">
            <w:pPr>
              <w:ind w:left="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:rsidR="00177B33" w:rsidRPr="001C5725" w:rsidRDefault="00177B33" w:rsidP="00D41102">
            <w:pPr>
              <w:ind w:left="1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7B33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D67972" w:rsidRDefault="00177B33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33" w:rsidRPr="001C5725" w:rsidRDefault="00177B33" w:rsidP="00177B33">
            <w:pPr>
              <w:ind w:left="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1C5725">
              <w:rPr>
                <w:rFonts w:ascii="Arial Narrow" w:hAnsi="Arial Narrow"/>
                <w:sz w:val="20"/>
                <w:szCs w:val="20"/>
              </w:rPr>
              <w:t>aliczenie z oceną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3" w:rsidRPr="00177B33" w:rsidRDefault="00177B33" w:rsidP="00177B3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177B33">
              <w:rPr>
                <w:rFonts w:ascii="Arial Narrow" w:hAnsi="Arial Narrow"/>
                <w:sz w:val="20"/>
                <w:szCs w:val="20"/>
              </w:rPr>
              <w:t>aliczenie pisemne,</w:t>
            </w:r>
          </w:p>
          <w:p w:rsidR="00177B33" w:rsidRPr="00177B33" w:rsidRDefault="00177B33" w:rsidP="00177B33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177B33">
              <w:rPr>
                <w:rFonts w:ascii="Arial Narrow" w:hAnsi="Arial Narrow"/>
                <w:sz w:val="20"/>
                <w:szCs w:val="20"/>
              </w:rPr>
              <w:t xml:space="preserve">ykonania badania USG oraz interpretacji, </w:t>
            </w:r>
          </w:p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DF" w:rsidRDefault="005768DF" w:rsidP="005D3747">
      <w:pPr>
        <w:spacing w:after="0" w:line="240" w:lineRule="auto"/>
      </w:pPr>
      <w:r>
        <w:separator/>
      </w:r>
    </w:p>
  </w:endnote>
  <w:endnote w:type="continuationSeparator" w:id="0">
    <w:p w:rsidR="005768DF" w:rsidRDefault="005768DF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DF" w:rsidRDefault="005768DF" w:rsidP="005D3747">
      <w:pPr>
        <w:spacing w:after="0" w:line="240" w:lineRule="auto"/>
      </w:pPr>
      <w:r>
        <w:separator/>
      </w:r>
    </w:p>
  </w:footnote>
  <w:footnote w:type="continuationSeparator" w:id="0">
    <w:p w:rsidR="005768DF" w:rsidRDefault="005768DF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670F"/>
    <w:multiLevelType w:val="hybridMultilevel"/>
    <w:tmpl w:val="F4B439C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61990"/>
    <w:multiLevelType w:val="hybridMultilevel"/>
    <w:tmpl w:val="B40C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D51EB"/>
    <w:multiLevelType w:val="hybridMultilevel"/>
    <w:tmpl w:val="CB7E33B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557DE"/>
    <w:multiLevelType w:val="hybridMultilevel"/>
    <w:tmpl w:val="4464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074AF"/>
    <w:multiLevelType w:val="hybridMultilevel"/>
    <w:tmpl w:val="409E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170C6"/>
    <w:multiLevelType w:val="hybridMultilevel"/>
    <w:tmpl w:val="40D82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0">
    <w:nsid w:val="70176FD2"/>
    <w:multiLevelType w:val="hybridMultilevel"/>
    <w:tmpl w:val="3010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07905"/>
    <w:multiLevelType w:val="hybridMultilevel"/>
    <w:tmpl w:val="FCEA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8"/>
  </w:num>
  <w:num w:numId="9">
    <w:abstractNumId w:val="3"/>
  </w:num>
  <w:num w:numId="10">
    <w:abstractNumId w:val="25"/>
  </w:num>
  <w:num w:numId="11">
    <w:abstractNumId w:val="24"/>
  </w:num>
  <w:num w:numId="12">
    <w:abstractNumId w:val="4"/>
  </w:num>
  <w:num w:numId="13">
    <w:abstractNumId w:val="19"/>
  </w:num>
  <w:num w:numId="14">
    <w:abstractNumId w:val="14"/>
  </w:num>
  <w:num w:numId="15">
    <w:abstractNumId w:val="21"/>
  </w:num>
  <w:num w:numId="16">
    <w:abstractNumId w:val="11"/>
  </w:num>
  <w:num w:numId="17">
    <w:abstractNumId w:val="13"/>
  </w:num>
  <w:num w:numId="18">
    <w:abstractNumId w:val="5"/>
  </w:num>
  <w:num w:numId="19">
    <w:abstractNumId w:val="15"/>
  </w:num>
  <w:num w:numId="20">
    <w:abstractNumId w:val="23"/>
  </w:num>
  <w:num w:numId="21">
    <w:abstractNumId w:val="8"/>
  </w:num>
  <w:num w:numId="22">
    <w:abstractNumId w:val="6"/>
  </w:num>
  <w:num w:numId="23">
    <w:abstractNumId w:val="17"/>
  </w:num>
  <w:num w:numId="24">
    <w:abstractNumId w:val="20"/>
  </w:num>
  <w:num w:numId="25">
    <w:abstractNumId w:val="9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493F"/>
    <w:rsid w:val="00006A20"/>
    <w:rsid w:val="000C1DBF"/>
    <w:rsid w:val="001060A2"/>
    <w:rsid w:val="0012441D"/>
    <w:rsid w:val="0013685B"/>
    <w:rsid w:val="001444CC"/>
    <w:rsid w:val="00177B33"/>
    <w:rsid w:val="001D2454"/>
    <w:rsid w:val="001F77DA"/>
    <w:rsid w:val="002000FE"/>
    <w:rsid w:val="002844A9"/>
    <w:rsid w:val="002A2C52"/>
    <w:rsid w:val="002F231A"/>
    <w:rsid w:val="00305FCA"/>
    <w:rsid w:val="0034686A"/>
    <w:rsid w:val="0041176F"/>
    <w:rsid w:val="00435E9A"/>
    <w:rsid w:val="0049232E"/>
    <w:rsid w:val="004D4D00"/>
    <w:rsid w:val="00565D3A"/>
    <w:rsid w:val="005768DF"/>
    <w:rsid w:val="0059651C"/>
    <w:rsid w:val="005D3747"/>
    <w:rsid w:val="005E6031"/>
    <w:rsid w:val="00663300"/>
    <w:rsid w:val="0067002A"/>
    <w:rsid w:val="006B7886"/>
    <w:rsid w:val="0074745A"/>
    <w:rsid w:val="007474AE"/>
    <w:rsid w:val="00761E71"/>
    <w:rsid w:val="007C4C83"/>
    <w:rsid w:val="007C5651"/>
    <w:rsid w:val="007E0540"/>
    <w:rsid w:val="0083306B"/>
    <w:rsid w:val="0088742A"/>
    <w:rsid w:val="008C533B"/>
    <w:rsid w:val="00951624"/>
    <w:rsid w:val="009E57CC"/>
    <w:rsid w:val="00AC6170"/>
    <w:rsid w:val="00B05822"/>
    <w:rsid w:val="00B36B65"/>
    <w:rsid w:val="00BA08B2"/>
    <w:rsid w:val="00BD58B9"/>
    <w:rsid w:val="00BD7D4B"/>
    <w:rsid w:val="00BE0DFE"/>
    <w:rsid w:val="00C266AD"/>
    <w:rsid w:val="00CF18AF"/>
    <w:rsid w:val="00D127A9"/>
    <w:rsid w:val="00D67972"/>
    <w:rsid w:val="00D76A02"/>
    <w:rsid w:val="00DF6A6D"/>
    <w:rsid w:val="00EC30B4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77B33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2">
    <w:name w:val="Body Text 2"/>
    <w:basedOn w:val="Normalny"/>
    <w:link w:val="Tekstpodstawowy2Znak"/>
    <w:semiHidden/>
    <w:rsid w:val="00177B3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7B3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7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9651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3</cp:revision>
  <cp:lastPrinted>2014-07-25T13:25:00Z</cp:lastPrinted>
  <dcterms:created xsi:type="dcterms:W3CDTF">2015-05-20T08:00:00Z</dcterms:created>
  <dcterms:modified xsi:type="dcterms:W3CDTF">2015-05-21T11:44:00Z</dcterms:modified>
</cp:coreProperties>
</file>