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1134"/>
        <w:gridCol w:w="1418"/>
        <w:gridCol w:w="1417"/>
        <w:gridCol w:w="1417"/>
      </w:tblGrid>
      <w:tr w:rsidR="0012441D" w:rsidRPr="009E57CC" w14:paraId="2886D2E5" w14:textId="77777777" w:rsidTr="008662CC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C1AD6" w14:textId="77777777" w:rsidR="0012441D" w:rsidRPr="009E57CC" w:rsidRDefault="0012441D" w:rsidP="0A6BB914">
            <w:pPr>
              <w:keepNext/>
              <w:spacing w:after="0"/>
              <w:jc w:val="center"/>
              <w:outlineLvl w:val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br w:type="page"/>
            </w:r>
            <w:r w:rsidR="009507E1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AKADEMIA WSB</w:t>
            </w:r>
          </w:p>
        </w:tc>
      </w:tr>
      <w:tr w:rsidR="0012441D" w:rsidRPr="009E57CC" w14:paraId="484AE19C" w14:textId="77777777" w:rsidTr="0A6BB914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A6BB914">
            <w:pPr>
              <w:keepNext/>
              <w:spacing w:after="0"/>
              <w:outlineLvl w:val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Kierunek studiów: </w:t>
            </w:r>
            <w:r w:rsidR="00A70BC0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0ABE10D7" w14:textId="77777777" w:rsidTr="0A6BB914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EA232" w14:textId="77777777" w:rsidR="0012441D" w:rsidRPr="009E57CC" w:rsidRDefault="00ED73C2" w:rsidP="0A6BB914">
            <w:pPr>
              <w:keepNext/>
              <w:spacing w:after="0"/>
              <w:outlineLvl w:val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</w:t>
            </w:r>
            <w:r w:rsidR="0012441D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rzedmiot: </w:t>
            </w:r>
            <w:r w:rsidR="00A70BC0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Polityka społeczna</w:t>
            </w:r>
          </w:p>
        </w:tc>
      </w:tr>
      <w:tr w:rsidR="0012441D" w:rsidRPr="009E57CC" w14:paraId="37569C40" w14:textId="77777777" w:rsidTr="0A6BB914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9E57CC" w:rsidRDefault="0012441D" w:rsidP="0A6BB914">
            <w:pPr>
              <w:keepNext/>
              <w:spacing w:after="0"/>
              <w:outlineLvl w:val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Profil kształcenia: </w:t>
            </w:r>
            <w:r w:rsidR="00712DBF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0A6BB914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A6BB914">
            <w:pPr>
              <w:keepNext/>
              <w:spacing w:after="0"/>
              <w:outlineLvl w:val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Poziom kształcenia: studia I stopnia</w:t>
            </w:r>
          </w:p>
        </w:tc>
      </w:tr>
      <w:tr w:rsidR="003414C4" w:rsidRPr="009E57CC" w14:paraId="3FF8D8C4" w14:textId="77777777" w:rsidTr="0A6BB914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Default="003414C4" w:rsidP="0A6BB914">
            <w:pPr>
              <w:keepNext/>
              <w:spacing w:after="0" w:line="240" w:lineRule="auto"/>
              <w:outlineLvl w:val="1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Liczba godzin </w:t>
            </w:r>
          </w:p>
          <w:p w14:paraId="12EA621F" w14:textId="77777777" w:rsidR="003414C4" w:rsidRPr="00ED73C2" w:rsidRDefault="003414C4" w:rsidP="0A6BB914">
            <w:pPr>
              <w:keepNext/>
              <w:spacing w:after="0" w:line="240" w:lineRule="auto"/>
              <w:outlineLvl w:val="1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9E57CC" w:rsidRDefault="003414C4" w:rsidP="0A6BB91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3</w:t>
            </w:r>
          </w:p>
        </w:tc>
      </w:tr>
      <w:tr w:rsidR="003414C4" w:rsidRPr="009E57CC" w14:paraId="105220A2" w14:textId="77777777" w:rsidTr="008662CC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9E57CC" w:rsidRDefault="003414C4" w:rsidP="0A6BB914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9E57CC" w:rsidRDefault="003414C4" w:rsidP="0A6BB914">
            <w:pPr>
              <w:keepNext/>
              <w:spacing w:after="0" w:line="240" w:lineRule="auto"/>
              <w:jc w:val="center"/>
              <w:outlineLvl w:val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9E57CC" w:rsidRDefault="003414C4" w:rsidP="0A6BB91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3414C4" w:rsidRPr="009E57CC" w:rsidRDefault="003414C4" w:rsidP="0A6BB91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96C343" w14:textId="77777777" w:rsidR="003414C4" w:rsidRPr="009E57CC" w:rsidRDefault="003414C4" w:rsidP="0A6BB91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8E22" w14:textId="77777777" w:rsidR="003414C4" w:rsidRPr="009E57CC" w:rsidRDefault="003414C4" w:rsidP="0A6BB914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VI</w:t>
            </w:r>
          </w:p>
        </w:tc>
      </w:tr>
      <w:tr w:rsidR="003414C4" w:rsidRPr="009E57CC" w14:paraId="5C958BEB" w14:textId="77777777" w:rsidTr="008662CC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ED73C2" w:rsidRDefault="003414C4" w:rsidP="0A6BB914">
            <w:pPr>
              <w:keepNext/>
              <w:spacing w:after="0"/>
              <w:outlineLvl w:val="1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Studia stacjonarne</w:t>
            </w:r>
          </w:p>
          <w:p w14:paraId="3F7DE23C" w14:textId="77777777" w:rsidR="003414C4" w:rsidRPr="00ED73C2" w:rsidRDefault="003414C4" w:rsidP="0A6BB914">
            <w:pPr>
              <w:keepNext/>
              <w:spacing w:after="0"/>
              <w:outlineLvl w:val="1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(w/</w:t>
            </w:r>
            <w:proofErr w:type="spellStart"/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ćw</w:t>
            </w:r>
            <w:proofErr w:type="spellEnd"/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/lab/</w:t>
            </w:r>
            <w:proofErr w:type="spellStart"/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pr</w:t>
            </w:r>
            <w:proofErr w:type="spellEnd"/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39BBE3" w14:textId="4195F036" w:rsidR="003414C4" w:rsidRPr="009E57CC" w:rsidRDefault="51EB1CC7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18 w</w:t>
            </w: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41C8F396" w14:textId="77777777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3414C4" w:rsidRPr="009E57CC" w14:paraId="67FFA526" w14:textId="77777777" w:rsidTr="008662CC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ED73C2" w:rsidRDefault="003414C4" w:rsidP="0A6BB914">
            <w:pPr>
              <w:keepNext/>
              <w:spacing w:after="0"/>
              <w:outlineLvl w:val="1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Studia niestacjonarne</w:t>
            </w:r>
          </w:p>
          <w:p w14:paraId="3A7B87C3" w14:textId="77777777" w:rsidR="003414C4" w:rsidRPr="00ED73C2" w:rsidRDefault="003414C4" w:rsidP="0A6BB914">
            <w:pPr>
              <w:keepNext/>
              <w:spacing w:after="0"/>
              <w:outlineLvl w:val="1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(w/</w:t>
            </w:r>
            <w:proofErr w:type="spellStart"/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ćw</w:t>
            </w:r>
            <w:proofErr w:type="spellEnd"/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/lab/</w:t>
            </w:r>
            <w:proofErr w:type="spellStart"/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pr</w:t>
            </w:r>
            <w:proofErr w:type="spellEnd"/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2A3D3EC" w14:textId="77777777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96EF0" w14:textId="7FFEF0A4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7E0CB7FE" w14:textId="47FDEC2C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E61A33" w14:textId="5D74F80D" w:rsidR="003414C4" w:rsidRPr="00394AB7" w:rsidRDefault="3477F71F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14 w</w:t>
            </w: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414C4" w:rsidRPr="009E57CC" w:rsidRDefault="003414C4" w:rsidP="0A6BB914">
            <w:pPr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ED73C2" w:rsidRPr="009E57CC" w14:paraId="2B5FBDF5" w14:textId="77777777" w:rsidTr="0A6BB914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BF2" w14:textId="77777777" w:rsidR="00ED73C2" w:rsidRPr="00ED73C2" w:rsidRDefault="00ED73C2" w:rsidP="0A6BB914">
            <w:pPr>
              <w:keepNext/>
              <w:spacing w:after="0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JĘZYK PROWADZENIA ZAJĘĆ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1FAC9" w14:textId="77777777" w:rsidR="00ED73C2" w:rsidRPr="00394AB7" w:rsidRDefault="005234D3" w:rsidP="0A6BB914">
            <w:pPr>
              <w:snapToGri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</w:t>
            </w:r>
            <w:r w:rsidR="00712DBF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olski</w:t>
            </w:r>
          </w:p>
        </w:tc>
      </w:tr>
      <w:tr w:rsidR="0012441D" w:rsidRPr="009E57CC" w14:paraId="1752BDCC" w14:textId="77777777" w:rsidTr="0A6BB914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A4A5" w14:textId="77777777" w:rsidR="0012441D" w:rsidRPr="00ED73C2" w:rsidRDefault="0012441D" w:rsidP="0A6BB914">
            <w:pPr>
              <w:keepNext/>
              <w:spacing w:after="0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WYKŁADOWCA</w:t>
            </w:r>
          </w:p>
          <w:p w14:paraId="60061E4C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7425" w14:textId="7F0359B1" w:rsidR="0012441D" w:rsidRPr="00394AB7" w:rsidRDefault="0048438C" w:rsidP="0A6BB914">
            <w:pPr>
              <w:snapToGri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dr Michał Szyszka</w:t>
            </w:r>
          </w:p>
        </w:tc>
      </w:tr>
      <w:tr w:rsidR="0012441D" w:rsidRPr="009E57CC" w14:paraId="00D6B2D1" w14:textId="77777777" w:rsidTr="0A6BB914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FORMA ZAJĘĆ</w:t>
            </w:r>
          </w:p>
          <w:p w14:paraId="44EAFD9C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3AA7" w14:textId="372AA3C4" w:rsidR="0012441D" w:rsidRPr="00394AB7" w:rsidRDefault="00712DBF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Wykład</w:t>
            </w:r>
            <w:r w:rsidR="7B837F9D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, konsultacje</w:t>
            </w:r>
          </w:p>
        </w:tc>
      </w:tr>
      <w:tr w:rsidR="0012441D" w:rsidRPr="009E57CC" w14:paraId="5FE80BE1" w14:textId="77777777" w:rsidTr="0A6BB914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12441D" w:rsidRPr="00ED73C2" w:rsidRDefault="0012441D" w:rsidP="0A6BB914">
            <w:pPr>
              <w:keepNext/>
              <w:spacing w:after="0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CELE PRZEDMIOTU</w:t>
            </w:r>
          </w:p>
          <w:p w14:paraId="4B94D5A5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F5A7" w14:textId="77777777" w:rsidR="0072345D" w:rsidRPr="00394AB7" w:rsidRDefault="00712DBF" w:rsidP="0A6BB914">
            <w:pPr>
              <w:pStyle w:val="NormalnyWeb"/>
              <w:spacing w:before="0" w:beforeAutospacing="0" w:after="0" w:afterAutospacing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Wprowadzenie </w:t>
            </w:r>
            <w:r w:rsidR="000A2994" w:rsidRPr="0A6BB91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w podstawowe problemy społeczne i zagadnienia polityki społecznej </w:t>
            </w:r>
            <w:r w:rsidR="0072345D" w:rsidRPr="0A6BB914">
              <w:rPr>
                <w:rFonts w:ascii="Arial Narrow" w:eastAsia="Arial Narrow" w:hAnsi="Arial Narrow" w:cs="Arial Narrow"/>
                <w:color w:val="222222"/>
                <w:sz w:val="20"/>
                <w:szCs w:val="20"/>
                <w:shd w:val="clear" w:color="auto" w:fill="FFFFFF"/>
              </w:rPr>
              <w:t>jako dyscypliny naukowej i działalności praktycznej</w:t>
            </w:r>
            <w:r w:rsidR="0072345D" w:rsidRPr="0A6BB91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r w:rsidR="000A2994" w:rsidRPr="0A6BB91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- jej cele, zakres, metody,</w:t>
            </w:r>
            <w:r w:rsidR="008B2D1F" w:rsidRPr="0A6BB91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instrumenty,</w:t>
            </w:r>
            <w:r w:rsidR="000A2994" w:rsidRPr="0A6BB91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środki. </w:t>
            </w:r>
          </w:p>
          <w:p w14:paraId="27917BE3" w14:textId="77777777" w:rsidR="0072345D" w:rsidRPr="00394AB7" w:rsidRDefault="000A2994" w:rsidP="0A6BB914">
            <w:pPr>
              <w:pStyle w:val="NormalnyWeb"/>
              <w:spacing w:before="0" w:beforeAutospacing="0" w:after="0" w:afterAutospacing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Wyjaśnienie podstawowych zasad, kierunków i zakresów działania oraz roli polityki społecznej w rozwiązywaniu problemów społecznych.</w:t>
            </w:r>
          </w:p>
          <w:p w14:paraId="5FCAD021" w14:textId="77777777" w:rsidR="0072345D" w:rsidRPr="0072345D" w:rsidRDefault="0072345D" w:rsidP="0A6BB914">
            <w:pPr>
              <w:pStyle w:val="NormalnyWeb"/>
              <w:spacing w:before="0" w:beforeAutospacing="0" w:after="0" w:afterAutospacing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color w:val="222222"/>
                <w:sz w:val="20"/>
                <w:szCs w:val="20"/>
                <w:shd w:val="clear" w:color="auto" w:fill="FFFFFF"/>
              </w:rPr>
              <w:t>Zapoznanie studentów ze szczegółowymi obszarami polityki społecznej, takimi jak: zabezpieczenie społeczne, polityka zatrudnienia, polityka rynku  pracy, przeciwdziałanie wykluczeniu społecznemu i ubóstwu.</w:t>
            </w:r>
          </w:p>
        </w:tc>
      </w:tr>
      <w:tr w:rsidR="00ED73C2" w:rsidRPr="009E57CC" w14:paraId="3E3522FD" w14:textId="77777777" w:rsidTr="0A6BB914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ED73C2" w:rsidRPr="009E57CC" w:rsidRDefault="00ED73C2" w:rsidP="0A6BB9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Odniesienie do efektów uczenia się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ED73C2" w:rsidRPr="0072345D" w:rsidRDefault="00ED73C2" w:rsidP="0A6BB9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Opis efektów </w:t>
            </w:r>
            <w:r w:rsidR="005549D2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ED73C2" w:rsidRDefault="00ED73C2" w:rsidP="0A6BB9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Sposób weryfikacji efektu</w:t>
            </w:r>
          </w:p>
          <w:p w14:paraId="1B6A8071" w14:textId="77777777" w:rsidR="002E534F" w:rsidRPr="009E57CC" w:rsidRDefault="002E534F" w:rsidP="0A6BB9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uczenia się</w:t>
            </w:r>
          </w:p>
        </w:tc>
      </w:tr>
      <w:tr w:rsidR="00ED73C2" w:rsidRPr="00ED73C2" w14:paraId="5244E015" w14:textId="77777777" w:rsidTr="0A6BB914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ED73C2" w:rsidRPr="00ED73C2" w:rsidRDefault="00ED73C2" w:rsidP="0A6BB914">
            <w:pPr>
              <w:keepNext/>
              <w:spacing w:after="0"/>
              <w:jc w:val="center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ED73C2" w:rsidRPr="00ED73C2" w:rsidRDefault="00ED73C2" w:rsidP="0A6BB9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3"/>
            <w:vMerge/>
          </w:tcPr>
          <w:p w14:paraId="3DEEC669" w14:textId="77777777" w:rsidR="00ED73C2" w:rsidRPr="0072345D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3656B9AB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9E57CC" w14:paraId="631EAA1C" w14:textId="77777777" w:rsidTr="0A6BB914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ED73C2" w:rsidRPr="0072345D" w:rsidRDefault="00ED73C2" w:rsidP="0A6BB9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WIEDZA</w:t>
            </w:r>
          </w:p>
        </w:tc>
      </w:tr>
      <w:tr w:rsidR="00ED73C2" w:rsidRPr="0072345D" w14:paraId="3E2FAC3B" w14:textId="77777777" w:rsidTr="0A6BB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94E2" w14:textId="77777777" w:rsidR="00ED73C2" w:rsidRPr="009E57CC" w:rsidRDefault="00A33FE1" w:rsidP="0A6BB914">
            <w:pPr>
              <w:keepNext/>
              <w:spacing w:after="0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SO_W01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6D0D" w14:textId="3D8A4DAE" w:rsidR="00ED73C2" w:rsidRPr="009E57CC" w:rsidRDefault="00A33FE1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P6U_W</w:t>
            </w:r>
            <w:r w:rsidR="001A7DBE">
              <w:rPr>
                <w:rFonts w:ascii="Arial Narrow" w:eastAsia="Arial Narrow" w:hAnsi="Arial Narrow" w:cs="Arial Narrow"/>
                <w:sz w:val="20"/>
                <w:szCs w:val="20"/>
              </w:rPr>
              <w:t>G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AE80" w14:textId="79B1FF4C" w:rsidR="00ED73C2" w:rsidRPr="0072345D" w:rsidRDefault="00C8591F" w:rsidP="0A6BB914">
            <w:pPr>
              <w:pStyle w:val="NormalnyWeb"/>
              <w:spacing w:before="0" w:beforeAutospacing="0" w:after="72" w:afterAutospacing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Student z</w:t>
            </w:r>
            <w:r w:rsidR="00712DBF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na</w:t>
            </w:r>
            <w:r w:rsidR="001A7DBE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 w zaawansowanym stopniu </w:t>
            </w:r>
            <w:r w:rsidR="00712DBF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 terminologię z zakresu polityki społecznej</w:t>
            </w:r>
            <w:r w:rsidR="0072345D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F913" w14:textId="77777777" w:rsidR="00ED73C2" w:rsidRPr="0072345D" w:rsidRDefault="0072345D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Egzamin</w:t>
            </w:r>
            <w:r w:rsidR="006717D8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pisemny</w:t>
            </w:r>
          </w:p>
        </w:tc>
      </w:tr>
      <w:tr w:rsidR="001D7958" w:rsidRPr="0072345D" w14:paraId="3A8958FD" w14:textId="77777777" w:rsidTr="0A6BB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3107" w14:textId="77777777" w:rsidR="001D7958" w:rsidRPr="009E57CC" w:rsidRDefault="00A33FE1" w:rsidP="0A6BB914">
            <w:pPr>
              <w:keepNext/>
              <w:spacing w:after="0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SO_W06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7585" w14:textId="7A7A9EE6" w:rsidR="001D7958" w:rsidRPr="009E57CC" w:rsidRDefault="00A33FE1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P6U_W</w:t>
            </w:r>
            <w:r w:rsidR="001A7DBE">
              <w:rPr>
                <w:rFonts w:ascii="Arial Narrow" w:eastAsia="Arial Narrow" w:hAnsi="Arial Narrow" w:cs="Arial Narrow"/>
                <w:sz w:val="20"/>
                <w:szCs w:val="20"/>
              </w:rPr>
              <w:t>G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582" w14:textId="75A006A8" w:rsidR="001D7958" w:rsidRPr="0072345D" w:rsidRDefault="001A7DBE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zna</w:t>
            </w:r>
            <w:r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 w zaawansowanym stopniu </w:t>
            </w:r>
            <w:r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 </w:t>
            </w:r>
            <w:r w:rsidR="00712DBF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strategi</w:t>
            </w:r>
            <w:r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ę</w:t>
            </w:r>
            <w:r w:rsidR="00712DBF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 w zakresie różnych obszarów polityki społecznej</w:t>
            </w:r>
            <w:r w:rsidR="00A33FE1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,</w:t>
            </w:r>
            <w:r w:rsidR="00712DBF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 takich jak zabezpieczenie społeczne, rynek pracy i bezrobocie, ubóstwo, pomoc społeczna, </w:t>
            </w:r>
            <w:r w:rsidR="00A8270C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polityka edukacyjna, polityka </w:t>
            </w:r>
            <w:r w:rsidR="00176643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senioralna</w:t>
            </w:r>
            <w:r w:rsidR="00C8591F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.</w:t>
            </w:r>
            <w:r w:rsidR="00176643"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133B" w14:textId="77777777" w:rsidR="001D7958" w:rsidRPr="0072345D" w:rsidRDefault="0072345D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Egzamin</w:t>
            </w:r>
            <w:r w:rsidR="006717D8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pisemny</w:t>
            </w:r>
          </w:p>
        </w:tc>
      </w:tr>
      <w:tr w:rsidR="00ED73C2" w:rsidRPr="0072345D" w14:paraId="255372A9" w14:textId="77777777" w:rsidTr="0A6BB914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ED73C2" w:rsidRPr="0072345D" w:rsidRDefault="00ED73C2" w:rsidP="0A6BB9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UMIEJĘTNOŚCI</w:t>
            </w:r>
          </w:p>
        </w:tc>
      </w:tr>
      <w:tr w:rsidR="00ED73C2" w:rsidRPr="0072345D" w14:paraId="03C4D761" w14:textId="77777777" w:rsidTr="0A6BB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EAD8" w14:textId="77777777" w:rsidR="00ED73C2" w:rsidRPr="009E57CC" w:rsidRDefault="00A33FE1" w:rsidP="0A6BB914">
            <w:pPr>
              <w:keepNext/>
              <w:spacing w:after="0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SO_U02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60B2" w14:textId="77777777" w:rsidR="00ED73C2" w:rsidRPr="009E57CC" w:rsidRDefault="00A33FE1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P6U_U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525E" w14:textId="77777777" w:rsidR="00ED73C2" w:rsidRPr="0072345D" w:rsidRDefault="00712DBF" w:rsidP="0A6BB914">
            <w:pPr>
              <w:pStyle w:val="NormalnyWeb"/>
              <w:spacing w:before="0" w:beforeAutospacing="0" w:after="72" w:afterAutospacing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Poddaje krytycznej analizie strategie, programy i poszczególne działania z zakresu polityki społecznej.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1AFA" w14:textId="77777777" w:rsidR="00ED73C2" w:rsidRPr="0072345D" w:rsidRDefault="0072345D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Egzamin</w:t>
            </w:r>
            <w:r w:rsidR="006717D8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pisemny</w:t>
            </w:r>
          </w:p>
        </w:tc>
      </w:tr>
      <w:tr w:rsidR="00ED73C2" w:rsidRPr="0072345D" w14:paraId="19D45179" w14:textId="77777777" w:rsidTr="0A6BB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118" w14:textId="77777777" w:rsidR="00ED73C2" w:rsidRPr="009E57CC" w:rsidRDefault="00D1683A" w:rsidP="0A6BB914">
            <w:pPr>
              <w:keepNext/>
              <w:spacing w:after="0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SO_U11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ACBC" w14:textId="77777777" w:rsidR="00ED73C2" w:rsidRPr="009E57CC" w:rsidRDefault="00A33FE1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P6U_U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D19C" w14:textId="2C87F04E" w:rsidR="00ED73C2" w:rsidRPr="0072345D" w:rsidRDefault="00A33FE1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Wyjaśnia</w:t>
            </w:r>
            <w:r w:rsidR="001A7DBE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 i ocenia </w:t>
            </w:r>
            <w:r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 rolę polityki społecznej w budowaniu ładu społecznego.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BD28" w14:textId="77777777" w:rsidR="00ED73C2" w:rsidRPr="0072345D" w:rsidRDefault="0072345D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Egzamin</w:t>
            </w:r>
            <w:r w:rsidR="006717D8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pisemny </w:t>
            </w:r>
          </w:p>
        </w:tc>
      </w:tr>
      <w:tr w:rsidR="00ED73C2" w:rsidRPr="0072345D" w14:paraId="10322A71" w14:textId="77777777" w:rsidTr="0A6BB914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ED73C2" w:rsidRPr="0072345D" w:rsidRDefault="00ED73C2" w:rsidP="0A6BB9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KOMPETENCJE SPOŁECZNE</w:t>
            </w:r>
          </w:p>
        </w:tc>
      </w:tr>
      <w:tr w:rsidR="00ED73C2" w:rsidRPr="0072345D" w14:paraId="44F8C348" w14:textId="77777777" w:rsidTr="0A6BB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FF22" w14:textId="77777777" w:rsidR="00ED73C2" w:rsidRPr="009E57CC" w:rsidRDefault="00A33FE1" w:rsidP="0A6BB914">
            <w:pPr>
              <w:keepNext/>
              <w:spacing w:after="0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SO_K01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16BD" w14:textId="77777777" w:rsidR="00ED73C2" w:rsidRPr="009E57CC" w:rsidRDefault="00A33FE1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P6U_K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966D" w14:textId="77777777" w:rsidR="00ED73C2" w:rsidRPr="0072345D" w:rsidRDefault="0072345D" w:rsidP="0A6BB914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Wykazuje poszanowanie dla zasad</w:t>
            </w:r>
            <w:r w:rsidR="00A7011C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sprawiedliwości społecznej.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9423" w14:textId="77777777" w:rsidR="00ED73C2" w:rsidRPr="0072345D" w:rsidRDefault="0072345D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Dyskusja</w:t>
            </w:r>
            <w:r w:rsidR="006717D8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podczas interaktywnego wykładu</w:t>
            </w:r>
          </w:p>
        </w:tc>
      </w:tr>
      <w:tr w:rsidR="00ED73C2" w:rsidRPr="0072345D" w14:paraId="497C7662" w14:textId="77777777" w:rsidTr="0A6BB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CD8" w14:textId="77777777" w:rsidR="00ED73C2" w:rsidRPr="009E57CC" w:rsidRDefault="00A33FE1" w:rsidP="0A6BB914">
            <w:pPr>
              <w:keepNext/>
              <w:spacing w:after="0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SO_K06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1C13" w14:textId="77777777" w:rsidR="00ED73C2" w:rsidRPr="009E57CC" w:rsidRDefault="00A33FE1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P6U_K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12B7" w14:textId="77777777" w:rsidR="00ED73C2" w:rsidRDefault="0072345D" w:rsidP="0A6BB914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Jest przychylny samodzielnemu zgłębianiu wiedzy.</w:t>
            </w:r>
          </w:p>
          <w:p w14:paraId="0B7C632F" w14:textId="4CB464C4" w:rsidR="001A7DBE" w:rsidRPr="0072345D" w:rsidRDefault="001A7DBE" w:rsidP="001A7DBE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B30A" w14:textId="4101344A" w:rsidR="00ED73C2" w:rsidRPr="0072345D" w:rsidRDefault="0072345D" w:rsidP="00CC71A7">
            <w:pPr>
              <w:autoSpaceDE w:val="0"/>
              <w:autoSpaceDN w:val="0"/>
              <w:adjustRightIn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Egzamin</w:t>
            </w:r>
            <w:bookmarkStart w:id="0" w:name="_GoBack"/>
            <w:r w:rsidR="001A7DBE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bookmarkEnd w:id="0"/>
          </w:p>
        </w:tc>
      </w:tr>
    </w:tbl>
    <w:p w14:paraId="45FB0818" w14:textId="77777777" w:rsidR="00D1683A" w:rsidRDefault="00D1683A" w:rsidP="0A6BB914">
      <w:pPr>
        <w:rPr>
          <w:rFonts w:ascii="Arial Narrow" w:eastAsia="Arial Narrow" w:hAnsi="Arial Narrow" w:cs="Arial Narrow"/>
          <w:sz w:val="20"/>
          <w:szCs w:val="20"/>
        </w:rPr>
      </w:pPr>
      <w:r w:rsidRPr="0A6BB914">
        <w:rPr>
          <w:rFonts w:ascii="Arial Narrow" w:eastAsia="Arial Narrow" w:hAnsi="Arial Narrow" w:cs="Arial Narrow"/>
          <w:sz w:val="20"/>
          <w:szCs w:val="20"/>
        </w:rPr>
        <w:br w:type="page"/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975"/>
        <w:gridCol w:w="4820"/>
      </w:tblGrid>
      <w:tr w:rsidR="0012441D" w:rsidRPr="0072345D" w14:paraId="060708F7" w14:textId="77777777" w:rsidTr="0A6BB914">
        <w:trPr>
          <w:trHeight w:val="425"/>
        </w:trPr>
        <w:tc>
          <w:tcPr>
            <w:tcW w:w="9425" w:type="dxa"/>
            <w:gridSpan w:val="3"/>
          </w:tcPr>
          <w:p w14:paraId="3ED13767" w14:textId="77777777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lastRenderedPageBreak/>
              <w:t xml:space="preserve">Nakład pracy studenta  (w godzinach dydaktycznych 1h </w:t>
            </w:r>
            <w:proofErr w:type="spellStart"/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dyd</w:t>
            </w:r>
            <w:proofErr w:type="spellEnd"/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.=45 minut)** </w:t>
            </w:r>
          </w:p>
        </w:tc>
      </w:tr>
      <w:tr w:rsidR="0012441D" w:rsidRPr="0072345D" w14:paraId="1C95F1F3" w14:textId="77777777" w:rsidTr="0A6BB914">
        <w:trPr>
          <w:trHeight w:val="283"/>
        </w:trPr>
        <w:tc>
          <w:tcPr>
            <w:tcW w:w="4605" w:type="dxa"/>
            <w:gridSpan w:val="2"/>
          </w:tcPr>
          <w:p w14:paraId="56B68402" w14:textId="77777777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Stacjonarne</w:t>
            </w:r>
          </w:p>
          <w:p w14:paraId="3B8FAB51" w14:textId="31960A8C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udział w wykładach = </w:t>
            </w:r>
            <w:r w:rsidR="7A6C367D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18h</w:t>
            </w:r>
          </w:p>
          <w:p w14:paraId="5F775139" w14:textId="77777777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udział w ćwiczeniach = </w:t>
            </w:r>
          </w:p>
          <w:p w14:paraId="3E26E8AE" w14:textId="77777777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przygotowanie do ćwiczeń = </w:t>
            </w:r>
          </w:p>
          <w:p w14:paraId="5DCCBE1A" w14:textId="65A29194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przygotowanie do wykładu = </w:t>
            </w:r>
            <w:r w:rsidR="18638E48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10</w:t>
            </w:r>
            <w:r w:rsidR="3B582641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</w:p>
          <w:p w14:paraId="6C735643" w14:textId="59EE5205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przygotowanie do egzaminu = </w:t>
            </w:r>
            <w:r w:rsidR="773E0573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18</w:t>
            </w:r>
            <w:r w:rsidR="35B19B54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</w:p>
          <w:p w14:paraId="61B9B8FB" w14:textId="77777777" w:rsidR="0012441D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realizacja zadań projektowych =</w:t>
            </w:r>
          </w:p>
          <w:p w14:paraId="40AF6859" w14:textId="5148AD42" w:rsidR="003C0F74" w:rsidRPr="009E57CC" w:rsidRDefault="2A95F5EC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konsultacje=</w:t>
            </w:r>
            <w:r w:rsidR="00D2CCE2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4h</w:t>
            </w:r>
          </w:p>
          <w:p w14:paraId="3AF63A71" w14:textId="77777777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e-learning =</w:t>
            </w:r>
          </w:p>
          <w:p w14:paraId="63E11496" w14:textId="3E09E3C0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zaliczenie/egzamin =</w:t>
            </w:r>
            <w:r w:rsidR="1ECB6051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1h</w:t>
            </w:r>
          </w:p>
          <w:p w14:paraId="47AFA7BB" w14:textId="77777777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inne  (określ jakie) = </w:t>
            </w:r>
          </w:p>
          <w:p w14:paraId="3761CA30" w14:textId="241A9283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RAZEM:</w:t>
            </w:r>
            <w:r w:rsidR="39111BAF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51h</w:t>
            </w:r>
          </w:p>
          <w:p w14:paraId="72E069CD" w14:textId="30716ADC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Liczba punktów ECTS:</w:t>
            </w:r>
            <w:r w:rsidR="78D54549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2</w:t>
            </w:r>
          </w:p>
          <w:p w14:paraId="0B7853D8" w14:textId="7048C002" w:rsidR="0012441D" w:rsidRPr="009E57CC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w t</w:t>
            </w:r>
            <w:r w:rsidR="00ED73C2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ym w ramach zajęć praktycznych:</w:t>
            </w:r>
            <w:r w:rsidR="1B700B5A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14:paraId="4CF4A1ED" w14:textId="77777777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Niestacjonarne</w:t>
            </w:r>
          </w:p>
          <w:p w14:paraId="3771BC28" w14:textId="6D83E7B0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udział w wykładach = </w:t>
            </w:r>
            <w:r w:rsidR="62DB7517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14h</w:t>
            </w:r>
          </w:p>
          <w:p w14:paraId="71029AE3" w14:textId="77777777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udział w ćwiczeniach = </w:t>
            </w:r>
          </w:p>
          <w:p w14:paraId="7CFF864E" w14:textId="77777777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przygotowanie do ćwiczeń = </w:t>
            </w:r>
          </w:p>
          <w:p w14:paraId="61720C57" w14:textId="76A54CE9" w:rsidR="00A8270C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przygotowanie do wykładu = </w:t>
            </w:r>
            <w:r w:rsidR="004E9AC0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12</w:t>
            </w:r>
            <w:r w:rsidR="36198E15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</w:p>
          <w:p w14:paraId="44D5C43C" w14:textId="3B1E08C8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przygotowanie do egzaminu = </w:t>
            </w:r>
            <w:r w:rsidR="73CF835A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20</w:t>
            </w:r>
            <w:r w:rsidR="36198E15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</w:p>
          <w:p w14:paraId="65DAEFCC" w14:textId="77777777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realizacja zadań projektowych =</w:t>
            </w:r>
          </w:p>
          <w:p w14:paraId="34D414EF" w14:textId="3A6249E5" w:rsidR="003C0F74" w:rsidRPr="0072345D" w:rsidRDefault="2A95F5EC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konsultacje=</w:t>
            </w:r>
            <w:r w:rsidR="00A8270C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4</w:t>
            </w:r>
            <w:r w:rsidR="5742BD6A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</w:p>
          <w:p w14:paraId="328EEC2E" w14:textId="77777777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e-learning =</w:t>
            </w:r>
          </w:p>
          <w:p w14:paraId="39C5961F" w14:textId="116E04B0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zaliczenie/egzamin =</w:t>
            </w:r>
            <w:r w:rsidR="0FD1FD25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1</w:t>
            </w:r>
            <w:r w:rsidR="771691BF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</w:p>
          <w:p w14:paraId="64CA7012" w14:textId="77777777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inne  (określ jakie) = </w:t>
            </w:r>
          </w:p>
          <w:p w14:paraId="65078322" w14:textId="5A63D580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RAZEM:</w:t>
            </w:r>
            <w:r w:rsidR="00A8270C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5</w:t>
            </w:r>
            <w:r w:rsidR="6A55742F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1</w:t>
            </w:r>
            <w:r w:rsidR="061CECA4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h</w:t>
            </w:r>
          </w:p>
          <w:p w14:paraId="4B764D9C" w14:textId="77777777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Liczba punktów  ECTS:</w:t>
            </w:r>
            <w:r w:rsidR="00A8270C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2</w:t>
            </w:r>
          </w:p>
          <w:p w14:paraId="07033D63" w14:textId="31FAED4F" w:rsidR="0012441D" w:rsidRPr="0072345D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w t</w:t>
            </w:r>
            <w:r w:rsidR="00ED73C2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ym w ramach zajęć praktycznych:</w:t>
            </w:r>
            <w:r w:rsidR="1E693E0F"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2441D" w:rsidRPr="009E57CC" w14:paraId="5C75384F" w14:textId="77777777" w:rsidTr="0A6BB91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116C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WARUNKI WSTĘPNE</w:t>
            </w:r>
          </w:p>
          <w:p w14:paraId="049F31CB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7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E912" w14:textId="026ECECA" w:rsidR="0012441D" w:rsidRPr="009E57CC" w:rsidRDefault="0012441D" w:rsidP="008662CC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12441D" w:rsidRPr="009E57CC" w14:paraId="1EBC1330" w14:textId="77777777" w:rsidTr="0A6BB91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TREŚCI PRZEDMIOTU</w:t>
            </w:r>
          </w:p>
          <w:p w14:paraId="5E55682D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(z podziałem na </w:t>
            </w:r>
          </w:p>
          <w:p w14:paraId="5CBA6914" w14:textId="77777777" w:rsidR="0012441D" w:rsidRPr="00640963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zajęcia w formie bezpośredniej i e-learning)</w:t>
            </w:r>
          </w:p>
        </w:tc>
        <w:tc>
          <w:tcPr>
            <w:tcW w:w="7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12441D" w:rsidRPr="00A5258E" w:rsidRDefault="0B12FD77" w:rsidP="0A6BB914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Treści realizowane w formie bezpośredniej: </w:t>
            </w:r>
          </w:p>
          <w:p w14:paraId="4A0295D2" w14:textId="77777777" w:rsidR="006259C7" w:rsidRPr="000F382A" w:rsidRDefault="006259C7" w:rsidP="006259C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Polityka publiczna, polityka społeczna, pojęcie, istota i dziedziny polityki społecznej.</w:t>
            </w:r>
          </w:p>
          <w:p w14:paraId="603A6770" w14:textId="77777777" w:rsidR="006259C7" w:rsidRPr="000F382A" w:rsidRDefault="006259C7" w:rsidP="006259C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Kwestie społeczne a polityka społeczna; ekonomia społeczna.</w:t>
            </w:r>
          </w:p>
          <w:p w14:paraId="3B9F1ED6" w14:textId="77777777" w:rsidR="006259C7" w:rsidRPr="000F382A" w:rsidRDefault="006259C7" w:rsidP="006259C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Międzynarodowe i krajowe podmioty i instytucje polityki społecznej. </w:t>
            </w:r>
          </w:p>
          <w:p w14:paraId="626EC7D7" w14:textId="77777777" w:rsidR="006259C7" w:rsidRPr="000F382A" w:rsidRDefault="006259C7" w:rsidP="006259C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Instrumenty polityki społecznej. Socjalne funkcje państwa, spory i kontrowersje. Polityka społeczna w wymiarze lokalnym. Rola trzeciego sektora w polityce społecznej. </w:t>
            </w:r>
          </w:p>
          <w:p w14:paraId="4EF5639D" w14:textId="77777777" w:rsidR="006259C7" w:rsidRPr="000F382A" w:rsidRDefault="006259C7" w:rsidP="006259C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Polityka zatrudnienia, polityka rynku pracy. Instytucje rynku pracy i dialogu społecznego. Bezrobocie jako kwestia społeczna.</w:t>
            </w:r>
          </w:p>
          <w:p w14:paraId="36FB5614" w14:textId="77777777" w:rsidR="006259C7" w:rsidRPr="00A5258E" w:rsidRDefault="006259C7" w:rsidP="006259C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Polityka wobec starzenia, polityka senioralna, przesłanki demograficzne.</w:t>
            </w:r>
          </w:p>
          <w:p w14:paraId="3FED69C1" w14:textId="60893047" w:rsidR="008662CC" w:rsidRDefault="006259C7" w:rsidP="006259C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Polityka edukacyjna, idea całożyciowego uczenia się.</w:t>
            </w:r>
          </w:p>
          <w:p w14:paraId="0A0E0B3B" w14:textId="77777777" w:rsidR="008C4335" w:rsidRPr="006259C7" w:rsidRDefault="008C4335" w:rsidP="008C4335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36467B00" w14:textId="599FBFAD" w:rsidR="00A7011C" w:rsidRPr="00A5258E" w:rsidRDefault="0B12FD77" w:rsidP="008C4335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Treści realizowane w formie e-learning:</w:t>
            </w:r>
            <w:r w:rsidR="008C433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6259C7">
              <w:rPr>
                <w:rFonts w:ascii="Arial Narrow" w:eastAsia="Arial Narrow" w:hAnsi="Arial Narrow" w:cs="Arial Narrow"/>
                <w:sz w:val="20"/>
                <w:szCs w:val="20"/>
              </w:rPr>
              <w:t>Nie dotyczy</w:t>
            </w:r>
          </w:p>
        </w:tc>
      </w:tr>
      <w:tr w:rsidR="0012441D" w:rsidRPr="001A7DBE" w14:paraId="69C55CDA" w14:textId="77777777" w:rsidTr="0A6BB91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LITERATURA </w:t>
            </w:r>
          </w:p>
          <w:p w14:paraId="4BB66F54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OBOWIĄZKOWA</w:t>
            </w:r>
          </w:p>
          <w:p w14:paraId="53128261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7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00E4" w14:textId="5DEA9690" w:rsidR="0012441D" w:rsidRPr="006259C7" w:rsidRDefault="15AD58AB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Szatur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-Jaworska B., </w:t>
            </w: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Rysz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-Kowalczyk B., </w:t>
            </w: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Petelczyc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 J.,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 Perspektywa cyklu i biegu życia w</w:t>
            </w:r>
          </w:p>
          <w:p w14:paraId="41E812F2" w14:textId="675D84CD" w:rsidR="0012441D" w:rsidRPr="006259C7" w:rsidRDefault="15AD58AB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polityce społecznej,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Dom Wydawniczy ELIPSA, Warszawa 2021, dostępna</w:t>
            </w:r>
          </w:p>
          <w:p w14:paraId="093B61D1" w14:textId="4005DD54" w:rsidR="0012441D" w:rsidRPr="006259C7" w:rsidRDefault="15AD58AB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na:</w:t>
            </w:r>
            <w:hyperlink r:id="rId5"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</w:rPr>
                <w:t>http://www.kpss.lublin.pl/upload/21_Polityka%20spoleczna%20-%20teoria.pdf</w:t>
              </w:r>
            </w:hyperlink>
          </w:p>
          <w:p w14:paraId="76944F1E" w14:textId="7051719D" w:rsidR="0012441D" w:rsidRPr="006259C7" w:rsidRDefault="15AD58AB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Golinowska S., 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Modele polityki społecznej w Polsce i Europie na początku XXI wieku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,</w:t>
            </w:r>
          </w:p>
          <w:p w14:paraId="6B91CD26" w14:textId="6106DDE1" w:rsidR="0012441D" w:rsidRPr="006259C7" w:rsidRDefault="15AD58AB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Warszawa 2018, dostępne na: https://www.batory.org.pl/wp-content/uploads/2019/05/Modele-polityki-spolecznej.pdf</w:t>
            </w:r>
          </w:p>
          <w:p w14:paraId="04FBF02E" w14:textId="517D6F24" w:rsidR="0012441D" w:rsidRPr="006259C7" w:rsidRDefault="15AD58AB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Kwaśniewski J., (red.). 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Nauki o polityce publicznej Monografia dyscypliny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. Instytut Profilaktyki Społecznej i Resocjalizacji UW: Warszawa 2018.</w:t>
            </w:r>
          </w:p>
          <w:p w14:paraId="57A2C7B8" w14:textId="77777777" w:rsidR="0012441D" w:rsidRPr="006259C7" w:rsidRDefault="15AD58AB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Męcina J., </w:t>
            </w: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Firlit-Fesnak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G. (red.), 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Polityka Społeczna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, Wydaw. PWN, 2018 (e-book dostępny na: https://cyfroteka.pl/ebooki/Polityka_spoleczna-ebook/p00621660i006)</w:t>
            </w:r>
          </w:p>
          <w:p w14:paraId="20B23D95" w14:textId="30703BF3" w:rsidR="0012441D" w:rsidRPr="006259C7" w:rsidRDefault="15AD58AB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Spicker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P., 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 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2014, 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Polityka społeczna – teoria, 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Warszawa. dostępne na:</w:t>
            </w:r>
          </w:p>
          <w:p w14:paraId="744584DD" w14:textId="05A37D54" w:rsidR="0012441D" w:rsidRPr="001A7DBE" w:rsidRDefault="0048438C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/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hyperlink r:id="rId6">
              <w:r w:rsidR="15AD58AB" w:rsidRPr="001A7DBE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  <w:lang w:val="en-US"/>
                </w:rPr>
                <w:t>https://www.researchgate.net/publication/355712801_PERSPEKTYWA_CYKLU_I_BIEGU_ZY IA_W_POLITYCE_SPOLECZNEJ_LIFE_CYCLE_AND_LIFE_COURSE_PERSPECTIVES_IN_SOCIAL_POLICY</w:t>
              </w:r>
            </w:hyperlink>
          </w:p>
        </w:tc>
      </w:tr>
      <w:tr w:rsidR="0012441D" w:rsidRPr="00A7011C" w14:paraId="1AD21B3A" w14:textId="77777777" w:rsidTr="0A6BB91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LITERATURA </w:t>
            </w:r>
          </w:p>
          <w:p w14:paraId="47047E87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UZUPEŁNIAJĄCA</w:t>
            </w:r>
          </w:p>
          <w:p w14:paraId="6C3AB2A0" w14:textId="4945B899" w:rsidR="00ED73C2" w:rsidRPr="006A3442" w:rsidRDefault="00ED73C2" w:rsidP="0A6BB914">
            <w:pPr>
              <w:spacing w:after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(w tym min. 2 pozycje w języku angielskim; publikacje książkowe lub artykuły)</w:t>
            </w:r>
          </w:p>
        </w:tc>
        <w:tc>
          <w:tcPr>
            <w:tcW w:w="7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462C" w14:textId="77777777" w:rsidR="00A7011C" w:rsidRPr="006259C7" w:rsidRDefault="0048438C" w:rsidP="006259C7">
            <w:pPr>
              <w:pStyle w:val="Akapitzlist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hyperlink r:id="rId7">
              <w:r w:rsidR="1F401DB4" w:rsidRPr="006259C7">
                <w:rPr>
                  <w:rFonts w:ascii="Arial Narrow" w:eastAsia="Arial Narrow" w:hAnsi="Arial Narrow" w:cs="Arial Narrow"/>
                  <w:sz w:val="20"/>
                  <w:szCs w:val="20"/>
                  <w:u w:val="single"/>
                </w:rPr>
                <w:t>J. Supińska, </w:t>
              </w:r>
              <w:r w:rsidR="1F401DB4" w:rsidRPr="006259C7">
                <w:rPr>
                  <w:rFonts w:ascii="Arial Narrow" w:eastAsia="Arial Narrow" w:hAnsi="Arial Narrow" w:cs="Arial Narrow"/>
                  <w:i/>
                  <w:iCs/>
                  <w:sz w:val="20"/>
                  <w:szCs w:val="20"/>
                  <w:u w:val="single"/>
                </w:rPr>
                <w:t>Dylematy polityki społecznej</w:t>
              </w:r>
              <w:r w:rsidR="1F401DB4" w:rsidRPr="006259C7">
                <w:rPr>
                  <w:rFonts w:ascii="Arial Narrow" w:eastAsia="Arial Narrow" w:hAnsi="Arial Narrow" w:cs="Arial Narrow"/>
                  <w:sz w:val="20"/>
                  <w:szCs w:val="20"/>
                  <w:u w:val="single"/>
                </w:rPr>
                <w:t>, IPS, Warszawa, 2014</w:t>
              </w:r>
            </w:hyperlink>
            <w:r w:rsidR="1F401DB4" w:rsidRPr="006259C7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  <w:p w14:paraId="30106E44" w14:textId="0494F934" w:rsidR="00A7011C" w:rsidRPr="006259C7" w:rsidRDefault="00A7011C" w:rsidP="006259C7">
            <w:pPr>
              <w:pStyle w:val="Akapitzlist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M. </w:t>
            </w: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Lavalette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A. </w:t>
            </w: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Pratt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, 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Polityka społeczna. Teorie, pojęcia, problemy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Difin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, Warszawa, 2010.</w:t>
            </w:r>
          </w:p>
          <w:p w14:paraId="230291E8" w14:textId="77777777" w:rsidR="00A7011C" w:rsidRPr="006259C7" w:rsidRDefault="00A7011C" w:rsidP="006259C7">
            <w:pPr>
              <w:pStyle w:val="Akapitzlist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R. Lister, 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  <w:lang w:val="en-GB"/>
              </w:rPr>
              <w:t>Understanding Theories and Concepts in Social Policy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, Policy Press, 2010</w:t>
            </w:r>
          </w:p>
          <w:p w14:paraId="60F20EFA" w14:textId="5A53E03F" w:rsidR="00A7011C" w:rsidRPr="006259C7" w:rsidRDefault="00A7011C" w:rsidP="006259C7">
            <w:pPr>
              <w:pStyle w:val="Akapitzlist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P. </w:t>
            </w: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Spicker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>, 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  <w:lang w:val="en-GB"/>
              </w:rPr>
              <w:t>The Welfare State: A General Theory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  <w:lang w:val="en-GB"/>
              </w:rPr>
              <w:t xml:space="preserve">, SAGE Publications, 2000. 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Skrót:</w:t>
            </w:r>
            <w:r w:rsidRPr="006259C7">
              <w:br/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  <w:hyperlink r:id="rId8">
              <w:r w:rsidRPr="006259C7">
                <w:rPr>
                  <w:rFonts w:ascii="Arial Narrow" w:eastAsia="Arial Narrow" w:hAnsi="Arial Narrow" w:cs="Arial Narrow"/>
                  <w:sz w:val="20"/>
                  <w:szCs w:val="20"/>
                  <w:u w:val="single"/>
                </w:rPr>
                <w:t xml:space="preserve">Teoria ogólna polityki społecznej Paula </w:t>
              </w:r>
              <w:proofErr w:type="spellStart"/>
              <w:r w:rsidRPr="006259C7">
                <w:rPr>
                  <w:rFonts w:ascii="Arial Narrow" w:eastAsia="Arial Narrow" w:hAnsi="Arial Narrow" w:cs="Arial Narrow"/>
                  <w:sz w:val="20"/>
                  <w:szCs w:val="20"/>
                  <w:u w:val="single"/>
                </w:rPr>
                <w:t>Spickera</w:t>
              </w:r>
              <w:proofErr w:type="spellEnd"/>
            </w:hyperlink>
          </w:p>
          <w:p w14:paraId="36156BD9" w14:textId="40485158" w:rsidR="00A5258E" w:rsidRPr="006259C7" w:rsidRDefault="3C77902E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Szarfenberg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 R.,  Krytyka  i  afirmacja  polityki  społecznej,  wyd.  2,  Wydawnictwo </w:t>
            </w:r>
            <w:r w:rsidR="00A5258E" w:rsidRPr="006259C7">
              <w:br/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Instytutu</w:t>
            </w:r>
            <w:r w:rsidR="0ADB8AF3"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Filozofii i  Socjologii PAN, Warszawa 2008.</w:t>
            </w:r>
          </w:p>
          <w:p w14:paraId="5F247CB7" w14:textId="77777777" w:rsidR="00A5258E" w:rsidRPr="006259C7" w:rsidRDefault="3C77902E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Seria wydawnicza: „Współczesna Polityka Społeczna”</w:t>
            </w:r>
          </w:p>
          <w:p w14:paraId="471A41E1" w14:textId="77777777" w:rsidR="00A5258E" w:rsidRPr="006259C7" w:rsidRDefault="3C77902E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Problemy Polityki Społecznej </w:t>
            </w:r>
            <w:hyperlink r:id="rId9"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</w:rPr>
                <w:t>http://www.problemypolitykispolecznej.pl/</w:t>
              </w:r>
            </w:hyperlink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  <w:p w14:paraId="5DAD8031" w14:textId="77777777" w:rsidR="00A5258E" w:rsidRPr="006259C7" w:rsidRDefault="3C77902E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 xml:space="preserve">Polityka Społeczna </w:t>
            </w:r>
            <w:hyperlink r:id="rId10"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</w:rPr>
                <w:t>https://polityka-spoleczna.ipiss.com.pl/resources/html/cms/MAINPAGE</w:t>
              </w:r>
            </w:hyperlink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  <w:p w14:paraId="5497FBBA" w14:textId="035B3FE0" w:rsidR="00A5258E" w:rsidRPr="006259C7" w:rsidRDefault="3C77902E" w:rsidP="006259C7">
            <w:pPr>
              <w:pStyle w:val="Akapitzlist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Warszawskie debaty o polityce społecznej  </w:t>
            </w:r>
            <w:hyperlink r:id="rId11"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</w:rPr>
                <w:t>h</w:t>
              </w:r>
            </w:hyperlink>
            <w:hyperlink r:id="rId12"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  <w:lang w:val="de-DE"/>
                </w:rPr>
                <w:t xml:space="preserve">ttp://library.fes.de › </w:t>
              </w:r>
            </w:hyperlink>
            <w:hyperlink r:id="rId13">
              <w:proofErr w:type="spellStart"/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  <w:lang w:val="de-DE"/>
                </w:rPr>
                <w:t>pdf</w:t>
              </w:r>
              <w:proofErr w:type="spellEnd"/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  <w:lang w:val="de-DE"/>
                </w:rPr>
                <w:t>-files</w:t>
              </w:r>
            </w:hyperlink>
            <w:hyperlink r:id="rId14"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  <w:lang w:val="de-DE"/>
                </w:rPr>
                <w:t xml:space="preserve"> › </w:t>
              </w:r>
            </w:hyperlink>
            <w:hyperlink r:id="rId15">
              <w:proofErr w:type="spellStart"/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  <w:lang w:val="de-DE"/>
                </w:rPr>
                <w:t>bueros</w:t>
              </w:r>
              <w:proofErr w:type="spellEnd"/>
            </w:hyperlink>
            <w:hyperlink r:id="rId16"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  <w:lang w:val="de-DE"/>
                </w:rPr>
                <w:t xml:space="preserve"> › </w:t>
              </w:r>
            </w:hyperlink>
            <w:hyperlink r:id="rId17">
              <w:proofErr w:type="spellStart"/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  <w:lang w:val="de-DE"/>
                </w:rPr>
                <w:t>warschau</w:t>
              </w:r>
              <w:proofErr w:type="spellEnd"/>
            </w:hyperlink>
            <w:hyperlink r:id="rId18">
              <w:r w:rsidRPr="006259C7">
                <w:rPr>
                  <w:rStyle w:val="Hipercze"/>
                  <w:rFonts w:ascii="Arial Narrow" w:eastAsia="Arial Narrow" w:hAnsi="Arial Narrow" w:cs="Arial Narrow"/>
                  <w:color w:val="auto"/>
                  <w:sz w:val="20"/>
                  <w:szCs w:val="20"/>
                  <w:lang w:val="de-DE"/>
                </w:rPr>
                <w:t xml:space="preserve"> </w:t>
              </w:r>
            </w:hyperlink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Studia Socjologiczne</w:t>
            </w:r>
          </w:p>
        </w:tc>
      </w:tr>
      <w:tr w:rsidR="00ED73C2" w:rsidRPr="009E57CC" w14:paraId="4E0A7C28" w14:textId="77777777" w:rsidTr="0A6BB91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6C2B" w14:textId="77777777" w:rsidR="00ED73C2" w:rsidRPr="006A3442" w:rsidRDefault="00ED73C2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</w:rPr>
              <w:lastRenderedPageBreak/>
              <w:t>PUBLIKACJE NAUKOWE OSÓB PROWADZĄCYCH ZAJĘCIA ZWIĄZANE            Z TEMATYKĄ MODUŁU</w:t>
            </w:r>
          </w:p>
        </w:tc>
        <w:tc>
          <w:tcPr>
            <w:tcW w:w="7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CAE2" w14:textId="77777777" w:rsidR="00A5258E" w:rsidRPr="006259C7" w:rsidRDefault="36D0DF1A" w:rsidP="006259C7">
            <w:pPr>
              <w:pStyle w:val="Akapitzlist"/>
              <w:numPr>
                <w:ilvl w:val="0"/>
                <w:numId w:val="11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Szarota Z., 2019, 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Priorytety i funkcje społeczne edukacji w dorosłości – perspektywa celów Zrównoważonego Rozwoju UNESCO 2030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, „e-mentor” 1(78) 2019, dostępne na: http://www.e-mentor.edu.pl/artykul/index/numer/78/id/1399 </w:t>
            </w:r>
          </w:p>
          <w:p w14:paraId="78FCEF2B" w14:textId="77777777" w:rsidR="006259C7" w:rsidRDefault="3C77902E" w:rsidP="006259C7">
            <w:pPr>
              <w:pStyle w:val="Akapitzlist"/>
              <w:numPr>
                <w:ilvl w:val="0"/>
                <w:numId w:val="11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Szarota Z., 2016, Edukacja dla pokoju – wybrane aspekty, [w:] </w:t>
            </w: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Medero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F. B., </w:t>
            </w:r>
            <w:proofErr w:type="spellStart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Maćkowicz</w:t>
            </w:r>
            <w:proofErr w:type="spellEnd"/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J.,</w:t>
            </w:r>
          </w:p>
          <w:p w14:paraId="5D8FAFD4" w14:textId="08E29F10" w:rsidR="00A5258E" w:rsidRPr="006259C7" w:rsidRDefault="3C77902E" w:rsidP="006259C7">
            <w:pPr>
              <w:pStyle w:val="Akapitzlist"/>
              <w:numPr>
                <w:ilvl w:val="0"/>
                <w:numId w:val="11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Szarota Z., 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Kultura pokoju: trójgłos edukacyjny, 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Kraków.</w:t>
            </w:r>
          </w:p>
          <w:p w14:paraId="1F5573D1" w14:textId="77777777" w:rsidR="006259C7" w:rsidRDefault="3C77902E" w:rsidP="006259C7">
            <w:pPr>
              <w:pStyle w:val="Akapitzlist"/>
              <w:numPr>
                <w:ilvl w:val="0"/>
                <w:numId w:val="11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Szarota Z.,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 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2011,</w:t>
            </w:r>
            <w:r w:rsidRPr="006259C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 Asystent rodziny. Między interwencjonizmem państwa a spolegliwym opiekuństwem – konteksty edukacyjne,</w:t>
            </w: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„Edukacja”, Nr 4(116)</w:t>
            </w:r>
          </w:p>
          <w:p w14:paraId="0247017B" w14:textId="49206A23" w:rsidR="009C6E78" w:rsidRPr="006259C7" w:rsidRDefault="691B1F0C" w:rsidP="006259C7">
            <w:pPr>
              <w:pStyle w:val="Akapitzlist"/>
              <w:numPr>
                <w:ilvl w:val="0"/>
                <w:numId w:val="11"/>
              </w:numPr>
              <w:shd w:val="clear" w:color="auto" w:fill="FFFFFF" w:themeFill="background1"/>
              <w:snapToGrid w:val="0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6259C7">
              <w:rPr>
                <w:rFonts w:ascii="Arial Narrow" w:eastAsia="Arial Narrow" w:hAnsi="Arial Narrow" w:cs="Arial Narrow"/>
                <w:sz w:val="20"/>
                <w:szCs w:val="20"/>
              </w:rPr>
              <w:t>Kijak R., Szarota Z., Starość. Między diagnozą a działaniem. CRZL, Warszawa 2013</w:t>
            </w:r>
            <w:r w:rsidR="006259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hyperlink w:history="1">
              <w:r w:rsidR="006259C7" w:rsidRPr="006259C7">
                <w:rPr>
                  <w:rStyle w:val="Hipercze"/>
                  <w:color w:val="auto"/>
                  <w:sz w:val="20"/>
                  <w:szCs w:val="20"/>
                </w:rPr>
                <w:t xml:space="preserve">https://gerontologia.org.pl › pliki › </w:t>
              </w:r>
              <w:proofErr w:type="spellStart"/>
              <w:r w:rsidR="006259C7" w:rsidRPr="006259C7">
                <w:rPr>
                  <w:rStyle w:val="Hipercze"/>
                  <w:color w:val="auto"/>
                  <w:sz w:val="20"/>
                  <w:szCs w:val="20"/>
                </w:rPr>
                <w:t>stardiagnoz</w:t>
              </w:r>
              <w:proofErr w:type="spellEnd"/>
            </w:hyperlink>
          </w:p>
        </w:tc>
      </w:tr>
      <w:tr w:rsidR="0012441D" w:rsidRPr="009E57CC" w14:paraId="3B554222" w14:textId="77777777" w:rsidTr="0A6BB91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12441D" w:rsidRPr="00ED73C2" w:rsidRDefault="0012441D" w:rsidP="0A6BB914">
            <w:pPr>
              <w:keepNext/>
              <w:spacing w:after="0"/>
              <w:outlineLvl w:val="2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METODY NAUCZANIA</w:t>
            </w:r>
          </w:p>
          <w:p w14:paraId="6D863725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(z podziałem na </w:t>
            </w:r>
          </w:p>
          <w:p w14:paraId="29A01362" w14:textId="25B898F6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zajęcia w formie bezpo</w:t>
            </w:r>
            <w:r w:rsidR="6E0E31DB" w:rsidRPr="0A6BB914">
              <w:rPr>
                <w:rFonts w:ascii="Arial Narrow" w:eastAsia="Arial Narrow" w:hAnsi="Arial Narrow" w:cs="Arial Narrow"/>
                <w:sz w:val="20"/>
                <w:szCs w:val="20"/>
              </w:rPr>
              <w:t>średniej i e-learning)</w:t>
            </w:r>
          </w:p>
        </w:tc>
        <w:tc>
          <w:tcPr>
            <w:tcW w:w="7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13F9" w14:textId="60E7C371" w:rsidR="002000FE" w:rsidRDefault="0B12FD77" w:rsidP="0A6BB91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W formie bezpośredniej</w:t>
            </w:r>
            <w:r w:rsidR="006259C7"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</w:p>
          <w:p w14:paraId="3641A031" w14:textId="3438B9D1" w:rsidR="006259C7" w:rsidRDefault="006259C7" w:rsidP="0A6BB91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Wykład interaktywny, synchroniczny, dyskusja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ze studentami, odpowiedzi ustne studentów</w:t>
            </w: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  <w:p w14:paraId="7F3D6269" w14:textId="77777777" w:rsidR="006259C7" w:rsidRPr="009E57CC" w:rsidRDefault="006259C7" w:rsidP="0A6BB914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563F61E" w14:textId="3C3FF151" w:rsidR="0012441D" w:rsidRDefault="0B12FD77" w:rsidP="0A6BB914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W formie e-learning</w:t>
            </w:r>
            <w:r w:rsidR="006259C7"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</w:p>
          <w:p w14:paraId="7C1976B5" w14:textId="5E88768C" w:rsidR="006259C7" w:rsidRDefault="006259C7" w:rsidP="0A6BB914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 dotyczy</w:t>
            </w:r>
          </w:p>
          <w:p w14:paraId="3D4C833E" w14:textId="78651C08" w:rsidR="00A5258E" w:rsidRPr="00EA4421" w:rsidRDefault="00A5258E" w:rsidP="0A6BB914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12441D" w:rsidRPr="009E57CC" w14:paraId="5612B959" w14:textId="77777777" w:rsidTr="0A6BB91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9E8C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POMOCE NAUKOWE</w:t>
            </w:r>
          </w:p>
        </w:tc>
        <w:tc>
          <w:tcPr>
            <w:tcW w:w="7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0F6B" w14:textId="77777777" w:rsidR="0012441D" w:rsidRPr="00EA4421" w:rsidRDefault="3C77902E" w:rsidP="0A6BB914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Podręczniki, linki do zasobów Internetu (e-book, podręczniki w PDF*), zasoby YouTube, prezentacje multimedialne.</w:t>
            </w:r>
          </w:p>
        </w:tc>
      </w:tr>
      <w:tr w:rsidR="0012441D" w:rsidRPr="009E57CC" w14:paraId="15CCBA6E" w14:textId="77777777" w:rsidTr="0A6BB91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PROJEKT</w:t>
            </w:r>
          </w:p>
          <w:p w14:paraId="0675BBA2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(o ile jest realizowany </w:t>
            </w:r>
            <w:r w:rsidR="00ED73C2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w ramach modułu zajęć)</w:t>
            </w:r>
          </w:p>
        </w:tc>
        <w:tc>
          <w:tcPr>
            <w:tcW w:w="7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145C" w14:textId="56F97C74" w:rsidR="0012441D" w:rsidRPr="00ED73C2" w:rsidRDefault="0012441D" w:rsidP="0A6BB914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val="sv-SE"/>
              </w:rPr>
            </w:pPr>
          </w:p>
        </w:tc>
      </w:tr>
      <w:tr w:rsidR="0012441D" w:rsidRPr="009E57CC" w14:paraId="0376910D" w14:textId="77777777" w:rsidTr="0A6BB91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12441D" w:rsidRPr="00ED73C2" w:rsidRDefault="0012441D" w:rsidP="0A6BB914">
            <w:pPr>
              <w:spacing w:after="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FORMA  I WARUNKI ZALICZENIA</w:t>
            </w:r>
          </w:p>
          <w:p w14:paraId="7E34F21E" w14:textId="77777777" w:rsidR="00ED73C2" w:rsidRPr="00ED73C2" w:rsidRDefault="00ED73C2" w:rsidP="0A6BB914">
            <w:pPr>
              <w:spacing w:after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 xml:space="preserve">(z podziałem na </w:t>
            </w:r>
          </w:p>
          <w:p w14:paraId="0A5AF2FD" w14:textId="1CEF29D5" w:rsidR="00ED73C2" w:rsidRPr="00ED73C2" w:rsidRDefault="00ED73C2" w:rsidP="0A6BB914">
            <w:pPr>
              <w:spacing w:after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</w:rPr>
              <w:t>zajęcia w formie bezpośredniej i   e-learning)</w:t>
            </w:r>
          </w:p>
        </w:tc>
        <w:tc>
          <w:tcPr>
            <w:tcW w:w="7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66A9" w14:textId="69E809D3" w:rsidR="0012441D" w:rsidRPr="009E57CC" w:rsidRDefault="3C77902E" w:rsidP="0A6BB914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A6BB914">
              <w:rPr>
                <w:rFonts w:ascii="Arial Narrow" w:eastAsia="Arial Narrow" w:hAnsi="Arial Narrow" w:cs="Arial Narrow"/>
                <w:sz w:val="20"/>
                <w:szCs w:val="20"/>
              </w:rPr>
              <w:t>Egzamin pisemny</w:t>
            </w:r>
            <w:r w:rsidR="00D1683A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– test wiedzy</w:t>
            </w:r>
            <w:r w:rsidR="006717D8" w:rsidRPr="0A6BB9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</w:tr>
    </w:tbl>
    <w:p w14:paraId="4C501FEE" w14:textId="3FAF4EF4" w:rsidR="0012441D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0D83837A" w14:textId="5E40F54B" w:rsidR="006259C7" w:rsidRPr="009E57CC" w:rsidRDefault="006259C7" w:rsidP="006259C7">
      <w:pPr>
        <w:pStyle w:val="Stopka"/>
        <w:ind w:left="360"/>
        <w:rPr>
          <w:i/>
        </w:rPr>
      </w:pPr>
    </w:p>
    <w:sectPr w:rsidR="006259C7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25F5E"/>
    <w:multiLevelType w:val="hybridMultilevel"/>
    <w:tmpl w:val="D63E9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F5181"/>
    <w:multiLevelType w:val="hybridMultilevel"/>
    <w:tmpl w:val="21FAE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373F6"/>
    <w:multiLevelType w:val="hybridMultilevel"/>
    <w:tmpl w:val="E16EEF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2861D8"/>
    <w:multiLevelType w:val="hybridMultilevel"/>
    <w:tmpl w:val="322E77BC"/>
    <w:lvl w:ilvl="0" w:tplc="069E4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BCD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927A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0028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58D6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76E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349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A0A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E20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47724"/>
    <w:multiLevelType w:val="hybridMultilevel"/>
    <w:tmpl w:val="C4F44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6434"/>
    <w:multiLevelType w:val="hybridMultilevel"/>
    <w:tmpl w:val="E19A5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82C6D"/>
    <w:multiLevelType w:val="hybridMultilevel"/>
    <w:tmpl w:val="1706B5E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F9E0D87"/>
    <w:multiLevelType w:val="hybridMultilevel"/>
    <w:tmpl w:val="6CC4F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9E15BA"/>
    <w:multiLevelType w:val="hybridMultilevel"/>
    <w:tmpl w:val="7C207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D724B"/>
    <w:multiLevelType w:val="multilevel"/>
    <w:tmpl w:val="04104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54077C"/>
    <w:multiLevelType w:val="hybridMultilevel"/>
    <w:tmpl w:val="7E4E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80F5F"/>
    <w:multiLevelType w:val="hybridMultilevel"/>
    <w:tmpl w:val="AB964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2B08C3"/>
    <w:multiLevelType w:val="hybridMultilevel"/>
    <w:tmpl w:val="328A2836"/>
    <w:lvl w:ilvl="0" w:tplc="0054E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E0B4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8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FCE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642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EB4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6D9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D815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86B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1312F"/>
    <w:multiLevelType w:val="hybridMultilevel"/>
    <w:tmpl w:val="37DC3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8590A"/>
    <w:multiLevelType w:val="multilevel"/>
    <w:tmpl w:val="2F2C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530D3B"/>
    <w:multiLevelType w:val="hybridMultilevel"/>
    <w:tmpl w:val="93409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DDAC6"/>
    <w:multiLevelType w:val="hybridMultilevel"/>
    <w:tmpl w:val="C73278D6"/>
    <w:lvl w:ilvl="0" w:tplc="059685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4C26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A060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8052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6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F43D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EB3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2A0F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0E60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F56B5"/>
    <w:multiLevelType w:val="multilevel"/>
    <w:tmpl w:val="5B5C4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E11F9C"/>
    <w:multiLevelType w:val="hybridMultilevel"/>
    <w:tmpl w:val="BFC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C57C47"/>
    <w:multiLevelType w:val="hybridMultilevel"/>
    <w:tmpl w:val="026A1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C0BBD"/>
    <w:multiLevelType w:val="multilevel"/>
    <w:tmpl w:val="F73A0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B55C65"/>
    <w:multiLevelType w:val="hybridMultilevel"/>
    <w:tmpl w:val="A8542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031D01"/>
    <w:multiLevelType w:val="hybridMultilevel"/>
    <w:tmpl w:val="A5508824"/>
    <w:lvl w:ilvl="0" w:tplc="630A0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E65A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D2CD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04D6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580F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2222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54EA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12E1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F607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14"/>
  </w:num>
  <w:num w:numId="5">
    <w:abstractNumId w:val="17"/>
  </w:num>
  <w:num w:numId="6">
    <w:abstractNumId w:val="9"/>
  </w:num>
  <w:num w:numId="7">
    <w:abstractNumId w:val="22"/>
  </w:num>
  <w:num w:numId="8">
    <w:abstractNumId w:val="20"/>
  </w:num>
  <w:num w:numId="9">
    <w:abstractNumId w:val="5"/>
  </w:num>
  <w:num w:numId="10">
    <w:abstractNumId w:val="4"/>
  </w:num>
  <w:num w:numId="11">
    <w:abstractNumId w:val="13"/>
  </w:num>
  <w:num w:numId="12">
    <w:abstractNumId w:val="21"/>
  </w:num>
  <w:num w:numId="13">
    <w:abstractNumId w:val="2"/>
  </w:num>
  <w:num w:numId="14">
    <w:abstractNumId w:val="7"/>
  </w:num>
  <w:num w:numId="15">
    <w:abstractNumId w:val="6"/>
  </w:num>
  <w:num w:numId="16">
    <w:abstractNumId w:val="10"/>
  </w:num>
  <w:num w:numId="17">
    <w:abstractNumId w:val="19"/>
  </w:num>
  <w:num w:numId="18">
    <w:abstractNumId w:val="1"/>
  </w:num>
  <w:num w:numId="19">
    <w:abstractNumId w:val="0"/>
  </w:num>
  <w:num w:numId="20">
    <w:abstractNumId w:val="15"/>
  </w:num>
  <w:num w:numId="21">
    <w:abstractNumId w:val="18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354C7"/>
    <w:rsid w:val="00055159"/>
    <w:rsid w:val="000A2994"/>
    <w:rsid w:val="000D5B1D"/>
    <w:rsid w:val="000F382A"/>
    <w:rsid w:val="001060A2"/>
    <w:rsid w:val="0012441D"/>
    <w:rsid w:val="0013685B"/>
    <w:rsid w:val="00174EAD"/>
    <w:rsid w:val="00176643"/>
    <w:rsid w:val="00183B0F"/>
    <w:rsid w:val="001A7DBE"/>
    <w:rsid w:val="001D2454"/>
    <w:rsid w:val="001D7958"/>
    <w:rsid w:val="001F77DA"/>
    <w:rsid w:val="002000FE"/>
    <w:rsid w:val="00205940"/>
    <w:rsid w:val="002533C9"/>
    <w:rsid w:val="002844A9"/>
    <w:rsid w:val="002E534F"/>
    <w:rsid w:val="00305FCA"/>
    <w:rsid w:val="003414C4"/>
    <w:rsid w:val="00353762"/>
    <w:rsid w:val="00394AB7"/>
    <w:rsid w:val="003C0F74"/>
    <w:rsid w:val="003E41E2"/>
    <w:rsid w:val="00435E9A"/>
    <w:rsid w:val="00442F73"/>
    <w:rsid w:val="0048438C"/>
    <w:rsid w:val="00487DA7"/>
    <w:rsid w:val="004C11BC"/>
    <w:rsid w:val="004E9AC0"/>
    <w:rsid w:val="00503DE9"/>
    <w:rsid w:val="005234D3"/>
    <w:rsid w:val="005549D2"/>
    <w:rsid w:val="00565D3A"/>
    <w:rsid w:val="005E6031"/>
    <w:rsid w:val="00605E35"/>
    <w:rsid w:val="006259C7"/>
    <w:rsid w:val="00640963"/>
    <w:rsid w:val="0067002A"/>
    <w:rsid w:val="006717D8"/>
    <w:rsid w:val="006952FB"/>
    <w:rsid w:val="006A3442"/>
    <w:rsid w:val="006B7886"/>
    <w:rsid w:val="00712DBF"/>
    <w:rsid w:val="0072345D"/>
    <w:rsid w:val="00755B5C"/>
    <w:rsid w:val="00775367"/>
    <w:rsid w:val="007A6AD9"/>
    <w:rsid w:val="007C5651"/>
    <w:rsid w:val="007D5DD9"/>
    <w:rsid w:val="0083306B"/>
    <w:rsid w:val="008662CC"/>
    <w:rsid w:val="008726AC"/>
    <w:rsid w:val="0088742A"/>
    <w:rsid w:val="008B2D1F"/>
    <w:rsid w:val="008C4335"/>
    <w:rsid w:val="00932F48"/>
    <w:rsid w:val="009507E1"/>
    <w:rsid w:val="00951624"/>
    <w:rsid w:val="00956FA0"/>
    <w:rsid w:val="009C6E78"/>
    <w:rsid w:val="009E57CC"/>
    <w:rsid w:val="00A33FE1"/>
    <w:rsid w:val="00A5258E"/>
    <w:rsid w:val="00A7011C"/>
    <w:rsid w:val="00A70BC0"/>
    <w:rsid w:val="00A8270C"/>
    <w:rsid w:val="00AB1534"/>
    <w:rsid w:val="00AB3CAC"/>
    <w:rsid w:val="00AC6170"/>
    <w:rsid w:val="00BA08B2"/>
    <w:rsid w:val="00BD58B9"/>
    <w:rsid w:val="00C8591F"/>
    <w:rsid w:val="00CC71A7"/>
    <w:rsid w:val="00D1683A"/>
    <w:rsid w:val="00D2CCE2"/>
    <w:rsid w:val="00D554F8"/>
    <w:rsid w:val="00D76A02"/>
    <w:rsid w:val="00D779E7"/>
    <w:rsid w:val="00D85751"/>
    <w:rsid w:val="00E15B4E"/>
    <w:rsid w:val="00E5490B"/>
    <w:rsid w:val="00EA4421"/>
    <w:rsid w:val="00EC30B4"/>
    <w:rsid w:val="00ED73C2"/>
    <w:rsid w:val="00F001EE"/>
    <w:rsid w:val="00FF385D"/>
    <w:rsid w:val="0304D05D"/>
    <w:rsid w:val="0329DF83"/>
    <w:rsid w:val="054718C4"/>
    <w:rsid w:val="061CECA4"/>
    <w:rsid w:val="0A6BB914"/>
    <w:rsid w:val="0ADB8AF3"/>
    <w:rsid w:val="0B12FD77"/>
    <w:rsid w:val="0CB7996C"/>
    <w:rsid w:val="0FD1FD25"/>
    <w:rsid w:val="0FF727B4"/>
    <w:rsid w:val="118B0A8F"/>
    <w:rsid w:val="145DBA31"/>
    <w:rsid w:val="14C2AB51"/>
    <w:rsid w:val="15AD58AB"/>
    <w:rsid w:val="169108DA"/>
    <w:rsid w:val="18638E48"/>
    <w:rsid w:val="199E09FA"/>
    <w:rsid w:val="1A7C02C1"/>
    <w:rsid w:val="1B700B5A"/>
    <w:rsid w:val="1CD5AABC"/>
    <w:rsid w:val="1CE0CF2D"/>
    <w:rsid w:val="1D004A5E"/>
    <w:rsid w:val="1E693E0F"/>
    <w:rsid w:val="1E717B1D"/>
    <w:rsid w:val="1ECB6051"/>
    <w:rsid w:val="1F401DB4"/>
    <w:rsid w:val="200D4B7E"/>
    <w:rsid w:val="24E0BCA1"/>
    <w:rsid w:val="25BB5737"/>
    <w:rsid w:val="28185D63"/>
    <w:rsid w:val="290432D0"/>
    <w:rsid w:val="2A95F5EC"/>
    <w:rsid w:val="2EB546FF"/>
    <w:rsid w:val="3477F71F"/>
    <w:rsid w:val="35B19B54"/>
    <w:rsid w:val="36198E15"/>
    <w:rsid w:val="36D0DF1A"/>
    <w:rsid w:val="39111BAF"/>
    <w:rsid w:val="3B582641"/>
    <w:rsid w:val="3C77902E"/>
    <w:rsid w:val="444BCE6A"/>
    <w:rsid w:val="48099E64"/>
    <w:rsid w:val="5197584D"/>
    <w:rsid w:val="51EB1CC7"/>
    <w:rsid w:val="54D16BF5"/>
    <w:rsid w:val="5742BD6A"/>
    <w:rsid w:val="587C1B12"/>
    <w:rsid w:val="5EE36F10"/>
    <w:rsid w:val="5EEB5C96"/>
    <w:rsid w:val="606E049A"/>
    <w:rsid w:val="62DB7517"/>
    <w:rsid w:val="654175BD"/>
    <w:rsid w:val="6879167F"/>
    <w:rsid w:val="691B1F0C"/>
    <w:rsid w:val="6A55742F"/>
    <w:rsid w:val="6D4C87A2"/>
    <w:rsid w:val="6E0E31DB"/>
    <w:rsid w:val="73CF835A"/>
    <w:rsid w:val="7570C1E4"/>
    <w:rsid w:val="771691BF"/>
    <w:rsid w:val="773E0573"/>
    <w:rsid w:val="78D54549"/>
    <w:rsid w:val="7A6C367D"/>
    <w:rsid w:val="7B837F9D"/>
    <w:rsid w:val="7FD9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44E4"/>
  <w15:docId w15:val="{49E8698B-5B33-4405-BE64-F25D8F8F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0A29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7011C"/>
    <w:rPr>
      <w:i/>
      <w:iCs/>
    </w:rPr>
  </w:style>
  <w:style w:type="character" w:styleId="Hipercze">
    <w:name w:val="Hyperlink"/>
    <w:basedOn w:val="Domylnaczcionkaakapitu"/>
    <w:uiPriority w:val="99"/>
    <w:unhideWhenUsed/>
    <w:rsid w:val="00A7011C"/>
    <w:rPr>
      <w:color w:val="0000FF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9C6E78"/>
    <w:rPr>
      <w:i/>
      <w:iCs/>
    </w:rPr>
  </w:style>
  <w:style w:type="character" w:customStyle="1" w:styleId="dyjrff">
    <w:name w:val="dyjrff"/>
    <w:basedOn w:val="Domylnaczcionkaakapitu"/>
    <w:rsid w:val="009C6E78"/>
  </w:style>
  <w:style w:type="character" w:styleId="UyteHipercze">
    <w:name w:val="FollowedHyperlink"/>
    <w:basedOn w:val="Domylnaczcionkaakapitu"/>
    <w:uiPriority w:val="99"/>
    <w:semiHidden/>
    <w:unhideWhenUsed/>
    <w:rsid w:val="009C6E78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9C6E78"/>
    <w:rPr>
      <w:rFonts w:eastAsia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59C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7D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7D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7DBE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D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DBE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DB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9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29899">
                  <w:marLeft w:val="36"/>
                  <w:marRight w:val="36"/>
                  <w:marTop w:val="1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5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szarf.ips.uw.edu.pl/tps/dzienne/zaoczne02_w8.pdf" TargetMode="External"/><Relationship Id="rId13" Type="http://schemas.openxmlformats.org/officeDocument/2006/relationships/hyperlink" Target="http://library.fes.de/pdf-files/bueros/warschau/12125.pdf" TargetMode="External"/><Relationship Id="rId18" Type="http://schemas.openxmlformats.org/officeDocument/2006/relationships/hyperlink" Target="http://library.fes.de/pdf-files/bueros/warschau/1212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szarf.ips.uw.edu.pl/tps/dzienne/supinska_dps2.pdf" TargetMode="External"/><Relationship Id="rId12" Type="http://schemas.openxmlformats.org/officeDocument/2006/relationships/hyperlink" Target="http://library.fes.de/pdf-files/bueros/warschau/12125.pdf" TargetMode="External"/><Relationship Id="rId17" Type="http://schemas.openxmlformats.org/officeDocument/2006/relationships/hyperlink" Target="http://library.fes.de/pdf-files/bueros/warschau/12125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rary.fes.de/pdf-files/bueros/warschau/12125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ublication/355712801_PERSPEKTYWA_CYKLU_I_BIEGU_ZYCIA_W_POLITYCE_SPOLECZNEJ_LIFE_CYCLE_AND_LIFE_COURSE_PERSPECTIVES_IN_SOCIAL_POLICY" TargetMode="External"/><Relationship Id="rId11" Type="http://schemas.openxmlformats.org/officeDocument/2006/relationships/hyperlink" Target="http://library.fes.de/pdf-files/bueros/warschau/12125.pdf" TargetMode="External"/><Relationship Id="rId5" Type="http://schemas.openxmlformats.org/officeDocument/2006/relationships/hyperlink" Target="http://www.kpss.lublin.pl/upload/21_Polityka%20spoleczna%20-%20teoria.pdf" TargetMode="External"/><Relationship Id="rId15" Type="http://schemas.openxmlformats.org/officeDocument/2006/relationships/hyperlink" Target="http://library.fes.de/pdf-files/bueros/warschau/12125.pdf" TargetMode="External"/><Relationship Id="rId10" Type="http://schemas.openxmlformats.org/officeDocument/2006/relationships/hyperlink" Target="https://polityka-spoleczna.ipiss.com.pl/resources/html/cms/MAINPAG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blemypolitykispolecznej.pl/" TargetMode="External"/><Relationship Id="rId14" Type="http://schemas.openxmlformats.org/officeDocument/2006/relationships/hyperlink" Target="http://library.fes.de/pdf-files/bueros/warschau/1212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Patrycja Mickiewicz</cp:lastModifiedBy>
  <cp:revision>3</cp:revision>
  <cp:lastPrinted>2014-07-25T14:25:00Z</cp:lastPrinted>
  <dcterms:created xsi:type="dcterms:W3CDTF">2022-11-19T01:44:00Z</dcterms:created>
  <dcterms:modified xsi:type="dcterms:W3CDTF">2022-11-28T19:15:00Z</dcterms:modified>
</cp:coreProperties>
</file>